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C7C1" w14:textId="6DFDDAC4" w:rsidR="00286127" w:rsidRDefault="00B128EF" w:rsidP="00286127">
      <w:pPr>
        <w:pStyle w:val="Title"/>
        <w:spacing w:before="120"/>
        <w:contextualSpacing w:val="0"/>
      </w:pPr>
      <w:r>
        <w:t>Small Claims Court: Procedure and Practice</w:t>
      </w:r>
      <w:r w:rsidR="00286127">
        <w:t xml:space="preserve">, </w:t>
      </w:r>
      <w:r>
        <w:t xml:space="preserve">5th </w:t>
      </w:r>
      <w:r w:rsidR="00286127">
        <w:t xml:space="preserve">Ed Update </w:t>
      </w:r>
    </w:p>
    <w:p w14:paraId="329EFC33" w14:textId="1C43516D" w:rsidR="00286127" w:rsidRDefault="00286127" w:rsidP="00286127">
      <w:pPr>
        <w:pStyle w:val="Title"/>
        <w:spacing w:before="120"/>
        <w:contextualSpacing w:val="0"/>
      </w:pPr>
      <w:r>
        <w:t xml:space="preserve">In Force January </w:t>
      </w:r>
      <w:r w:rsidR="002A7909">
        <w:t>3</w:t>
      </w:r>
      <w:r>
        <w:t>0, 2023</w:t>
      </w:r>
    </w:p>
    <w:p w14:paraId="183DF623" w14:textId="77777777" w:rsidR="00286127" w:rsidRDefault="00286127" w:rsidP="00286127">
      <w:pPr>
        <w:pStyle w:val="wordsection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555555"/>
          <w:bdr w:val="none" w:sz="0" w:space="0" w:color="auto" w:frame="1"/>
        </w:rPr>
      </w:pPr>
    </w:p>
    <w:p w14:paraId="1C186CBE" w14:textId="60E73801" w:rsidR="00286127" w:rsidRDefault="00F730E9" w:rsidP="00286127">
      <w:pPr>
        <w:pStyle w:val="Heading1"/>
        <w:spacing w:before="120" w:line="240" w:lineRule="auto"/>
      </w:pPr>
      <w:r>
        <w:t xml:space="preserve">Summary </w:t>
      </w:r>
    </w:p>
    <w:p w14:paraId="70106832" w14:textId="0F21B95B" w:rsidR="00286127" w:rsidRDefault="00286127" w:rsidP="00286127">
      <w:pPr>
        <w:rPr>
          <w:b/>
          <w:bCs/>
        </w:rPr>
      </w:pPr>
      <w:r>
        <w:t xml:space="preserve">On </w:t>
      </w:r>
      <w:r w:rsidR="002A7909">
        <w:t>November 15</w:t>
      </w:r>
      <w:r>
        <w:t xml:space="preserve">, 2022, O. Reg. </w:t>
      </w:r>
      <w:r w:rsidR="00EB4A05">
        <w:t>521</w:t>
      </w:r>
      <w:r w:rsidR="002A7909" w:rsidRPr="002A7909">
        <w:t>/22</w:t>
      </w:r>
      <w:r w:rsidR="002A7909">
        <w:t xml:space="preserve"> </w:t>
      </w:r>
      <w:r>
        <w:t xml:space="preserve">was filed, which amended the </w:t>
      </w:r>
      <w:r w:rsidR="00EB4A05" w:rsidRPr="00EB4A05">
        <w:rPr>
          <w:i/>
          <w:iCs/>
        </w:rPr>
        <w:t>Rules of the Small Claims Court</w:t>
      </w:r>
      <w:r>
        <w:t xml:space="preserve">. The regulation is posted on e-Laws at </w:t>
      </w:r>
      <w:r w:rsidR="00747AF4" w:rsidRPr="00747AF4">
        <w:t>https://www.ontario.ca/laws/regulation/r22521</w:t>
      </w:r>
      <w:r>
        <w:t xml:space="preserve">. The amendments come into force </w:t>
      </w:r>
      <w:r w:rsidR="002A7909">
        <w:rPr>
          <w:b/>
          <w:bCs/>
        </w:rPr>
        <w:t>January 30, 2023.</w:t>
      </w:r>
    </w:p>
    <w:p w14:paraId="0662BE3C" w14:textId="31F05374" w:rsidR="00F730E9" w:rsidRPr="00F730E9" w:rsidRDefault="00F730E9" w:rsidP="00286127">
      <w:pPr>
        <w:rPr>
          <w:b/>
          <w:bCs/>
        </w:rPr>
      </w:pPr>
      <w:r>
        <w:t>Essentially, the change</w:t>
      </w:r>
      <w:r w:rsidRPr="00F730E9">
        <w:t xml:space="preserve"> permits lawyers and </w:t>
      </w:r>
      <w:r w:rsidR="00A23801">
        <w:t xml:space="preserve">paralegals </w:t>
      </w:r>
      <w:r w:rsidRPr="00F730E9">
        <w:t>to use an unsworn certificate of service</w:t>
      </w:r>
      <w:r w:rsidR="00FB1771">
        <w:t>.</w:t>
      </w:r>
    </w:p>
    <w:p w14:paraId="761E868E" w14:textId="77777777" w:rsidR="004559C7" w:rsidRDefault="004559C7" w:rsidP="00286127">
      <w:pPr>
        <w:rPr>
          <w:rFonts w:ascii="Calibri" w:hAnsi="Calibri" w:cs="Calibri"/>
        </w:rPr>
      </w:pPr>
      <w:r>
        <w:t>The</w:t>
      </w:r>
      <w:r w:rsidR="00286127" w:rsidRPr="00104CC2">
        <w:t xml:space="preserve"> summary of the regulation</w:t>
      </w:r>
      <w:r>
        <w:t xml:space="preserve">, </w:t>
      </w:r>
      <w:r w:rsidR="00286127" w:rsidRPr="00104CC2">
        <w:t>available on Ontario</w:t>
      </w:r>
      <w:r w:rsidR="007D6032">
        <w:t>’</w:t>
      </w:r>
      <w:r w:rsidR="00286127" w:rsidRPr="00104CC2">
        <w:t>s Regula</w:t>
      </w:r>
      <w:r w:rsidR="00286127" w:rsidRPr="00F730E9">
        <w:rPr>
          <w:rFonts w:ascii="Calibri" w:hAnsi="Calibri" w:cs="Calibri"/>
        </w:rPr>
        <w:t>tory Registry at:</w:t>
      </w:r>
      <w:r w:rsidR="00F730E9" w:rsidRPr="00F730E9">
        <w:rPr>
          <w:rFonts w:ascii="Calibri" w:hAnsi="Calibri" w:cs="Calibri"/>
        </w:rPr>
        <w:t xml:space="preserve"> </w:t>
      </w:r>
      <w:hyperlink r:id="rId5" w:history="1">
        <w:r w:rsidR="00FB1771" w:rsidRPr="00FB1771">
          <w:rPr>
            <w:rStyle w:val="Hyperlink"/>
          </w:rPr>
          <w:t>22-MAG014</w:t>
        </w:r>
      </w:hyperlink>
      <w:r>
        <w:t>, states:</w:t>
      </w:r>
    </w:p>
    <w:p w14:paraId="6835EE8F" w14:textId="2166F620" w:rsidR="004559C7" w:rsidRPr="004559C7" w:rsidRDefault="004559C7" w:rsidP="004559C7">
      <w:pPr>
        <w:ind w:left="720"/>
        <w:rPr>
          <w:rFonts w:ascii="Calibri" w:hAnsi="Calibri" w:cs="Calibri"/>
          <w:color w:val="002060"/>
          <w:sz w:val="20"/>
          <w:szCs w:val="20"/>
        </w:rPr>
      </w:pPr>
      <w:r w:rsidRPr="004559C7">
        <w:rPr>
          <w:rFonts w:ascii="Calibri" w:hAnsi="Calibri" w:cs="Calibri"/>
          <w:color w:val="002060"/>
          <w:sz w:val="20"/>
          <w:szCs w:val="20"/>
        </w:rPr>
        <w:t>This regulation, O. Reg. 521/22, makes changes to the procedural rules of the Small Claims Court to introduce a new unsworn lawyer or paralegal</w:t>
      </w:r>
      <w:r>
        <w:rPr>
          <w:rFonts w:ascii="Calibri" w:hAnsi="Calibri" w:cs="Calibri"/>
          <w:color w:val="002060"/>
          <w:sz w:val="20"/>
          <w:szCs w:val="20"/>
        </w:rPr>
        <w:t>’</w:t>
      </w:r>
      <w:r w:rsidRPr="004559C7">
        <w:rPr>
          <w:rFonts w:ascii="Calibri" w:hAnsi="Calibri" w:cs="Calibri"/>
          <w:color w:val="002060"/>
          <w:sz w:val="20"/>
          <w:szCs w:val="20"/>
        </w:rPr>
        <w:t xml:space="preserve">s certificate of service. The new certificate can be used to prove service of a court document where service was </w:t>
      </w:r>
      <w:proofErr w:type="gramStart"/>
      <w:r w:rsidRPr="004559C7">
        <w:rPr>
          <w:rFonts w:ascii="Calibri" w:hAnsi="Calibri" w:cs="Calibri"/>
          <w:color w:val="002060"/>
          <w:sz w:val="20"/>
          <w:szCs w:val="20"/>
        </w:rPr>
        <w:t>effected</w:t>
      </w:r>
      <w:proofErr w:type="gramEnd"/>
      <w:r w:rsidRPr="004559C7">
        <w:rPr>
          <w:rFonts w:ascii="Calibri" w:hAnsi="Calibri" w:cs="Calibri"/>
          <w:color w:val="002060"/>
          <w:sz w:val="20"/>
          <w:szCs w:val="20"/>
        </w:rPr>
        <w:t xml:space="preserve"> by a lawyer or paralegal or caused to be effected by a lawyer or paralegal.</w:t>
      </w:r>
    </w:p>
    <w:p w14:paraId="43C36E35" w14:textId="77777777" w:rsidR="004559C7" w:rsidRPr="004559C7" w:rsidRDefault="004559C7" w:rsidP="004559C7">
      <w:pPr>
        <w:ind w:left="720"/>
        <w:rPr>
          <w:rFonts w:ascii="Calibri" w:hAnsi="Calibri" w:cs="Calibri"/>
          <w:color w:val="002060"/>
          <w:sz w:val="20"/>
          <w:szCs w:val="20"/>
        </w:rPr>
      </w:pPr>
      <w:r w:rsidRPr="004559C7">
        <w:rPr>
          <w:rFonts w:ascii="Calibri" w:hAnsi="Calibri" w:cs="Calibri"/>
          <w:color w:val="002060"/>
          <w:sz w:val="20"/>
          <w:szCs w:val="20"/>
        </w:rPr>
        <w:t>The regulation amends nine rules, creates one new form, and revises six forms.</w:t>
      </w:r>
    </w:p>
    <w:p w14:paraId="1758FC88" w14:textId="77777777" w:rsidR="004559C7" w:rsidRPr="004559C7" w:rsidRDefault="004559C7" w:rsidP="004559C7">
      <w:pPr>
        <w:ind w:left="720"/>
        <w:rPr>
          <w:rFonts w:ascii="Calibri" w:hAnsi="Calibri" w:cs="Calibri"/>
          <w:color w:val="002060"/>
          <w:sz w:val="20"/>
          <w:szCs w:val="20"/>
        </w:rPr>
      </w:pPr>
      <w:r w:rsidRPr="004559C7">
        <w:rPr>
          <w:rFonts w:ascii="Calibri" w:hAnsi="Calibri" w:cs="Calibri"/>
          <w:color w:val="002060"/>
          <w:sz w:val="20"/>
          <w:szCs w:val="20"/>
        </w:rPr>
        <w:t>The rule amendments:</w:t>
      </w:r>
    </w:p>
    <w:p w14:paraId="4BDC9F88" w14:textId="52A12262" w:rsidR="004559C7" w:rsidRPr="004559C7" w:rsidRDefault="004559C7" w:rsidP="004559C7">
      <w:pPr>
        <w:pStyle w:val="ListParagraph"/>
        <w:numPr>
          <w:ilvl w:val="0"/>
          <w:numId w:val="5"/>
        </w:numPr>
        <w:rPr>
          <w:rFonts w:ascii="Calibri" w:hAnsi="Calibri" w:cs="Calibri"/>
          <w:color w:val="002060"/>
          <w:sz w:val="20"/>
          <w:szCs w:val="20"/>
        </w:rPr>
      </w:pPr>
      <w:r w:rsidRPr="004559C7">
        <w:rPr>
          <w:rFonts w:ascii="Calibri" w:hAnsi="Calibri" w:cs="Calibri"/>
          <w:color w:val="002060"/>
          <w:sz w:val="20"/>
          <w:szCs w:val="20"/>
        </w:rPr>
        <w:t xml:space="preserve">introduce a new unsworn lawyer or paralegal's certificate of service (Form 8B) to prove that a document was either served by the lawyer or paralegal or caused to be served by the lawyer or </w:t>
      </w:r>
      <w:proofErr w:type="gramStart"/>
      <w:r w:rsidRPr="004559C7">
        <w:rPr>
          <w:rFonts w:ascii="Calibri" w:hAnsi="Calibri" w:cs="Calibri"/>
          <w:color w:val="002060"/>
          <w:sz w:val="20"/>
          <w:szCs w:val="20"/>
        </w:rPr>
        <w:t>paralegal;</w:t>
      </w:r>
      <w:proofErr w:type="gramEnd"/>
    </w:p>
    <w:p w14:paraId="69E11219" w14:textId="05EAD258" w:rsidR="004559C7" w:rsidRPr="004559C7" w:rsidRDefault="004559C7" w:rsidP="004559C7">
      <w:pPr>
        <w:pStyle w:val="ListParagraph"/>
        <w:numPr>
          <w:ilvl w:val="0"/>
          <w:numId w:val="5"/>
        </w:numPr>
        <w:rPr>
          <w:rFonts w:ascii="Calibri" w:hAnsi="Calibri" w:cs="Calibri"/>
          <w:color w:val="002060"/>
          <w:sz w:val="20"/>
          <w:szCs w:val="20"/>
        </w:rPr>
      </w:pPr>
      <w:r w:rsidRPr="004559C7">
        <w:rPr>
          <w:rFonts w:ascii="Calibri" w:hAnsi="Calibri" w:cs="Calibri"/>
          <w:color w:val="002060"/>
          <w:sz w:val="20"/>
          <w:szCs w:val="20"/>
        </w:rPr>
        <w:t xml:space="preserve">update existing provisions that refer to the use of affidavits of </w:t>
      </w:r>
      <w:proofErr w:type="gramStart"/>
      <w:r w:rsidRPr="004559C7">
        <w:rPr>
          <w:rFonts w:ascii="Calibri" w:hAnsi="Calibri" w:cs="Calibri"/>
          <w:color w:val="002060"/>
          <w:sz w:val="20"/>
          <w:szCs w:val="20"/>
        </w:rPr>
        <w:t>service;</w:t>
      </w:r>
      <w:proofErr w:type="gramEnd"/>
    </w:p>
    <w:p w14:paraId="7A804649" w14:textId="5163B5A4" w:rsidR="004559C7" w:rsidRPr="004559C7" w:rsidRDefault="004559C7" w:rsidP="004559C7">
      <w:pPr>
        <w:pStyle w:val="ListParagraph"/>
        <w:numPr>
          <w:ilvl w:val="0"/>
          <w:numId w:val="5"/>
        </w:numPr>
        <w:rPr>
          <w:rFonts w:ascii="Calibri" w:hAnsi="Calibri" w:cs="Calibri"/>
          <w:color w:val="002060"/>
          <w:sz w:val="20"/>
          <w:szCs w:val="20"/>
        </w:rPr>
      </w:pPr>
      <w:r w:rsidRPr="004559C7">
        <w:rPr>
          <w:rFonts w:ascii="Calibri" w:hAnsi="Calibri" w:cs="Calibri"/>
          <w:color w:val="002060"/>
          <w:sz w:val="20"/>
          <w:szCs w:val="20"/>
        </w:rPr>
        <w:t xml:space="preserve">move the provision about proof of service within the service rule (Rule 8) for better </w:t>
      </w:r>
      <w:proofErr w:type="gramStart"/>
      <w:r w:rsidRPr="004559C7">
        <w:rPr>
          <w:rFonts w:ascii="Calibri" w:hAnsi="Calibri" w:cs="Calibri"/>
          <w:color w:val="002060"/>
          <w:sz w:val="20"/>
          <w:szCs w:val="20"/>
        </w:rPr>
        <w:t>organization;</w:t>
      </w:r>
      <w:proofErr w:type="gramEnd"/>
    </w:p>
    <w:p w14:paraId="26154C5E" w14:textId="2368544D" w:rsidR="004559C7" w:rsidRPr="004559C7" w:rsidRDefault="004559C7" w:rsidP="004559C7">
      <w:pPr>
        <w:pStyle w:val="ListParagraph"/>
        <w:numPr>
          <w:ilvl w:val="0"/>
          <w:numId w:val="5"/>
        </w:numPr>
        <w:rPr>
          <w:rFonts w:ascii="Calibri" w:hAnsi="Calibri" w:cs="Calibri"/>
          <w:color w:val="002060"/>
          <w:sz w:val="20"/>
          <w:szCs w:val="20"/>
        </w:rPr>
      </w:pPr>
      <w:r w:rsidRPr="004559C7">
        <w:rPr>
          <w:rFonts w:ascii="Calibri" w:hAnsi="Calibri" w:cs="Calibri"/>
          <w:color w:val="002060"/>
          <w:sz w:val="20"/>
          <w:szCs w:val="20"/>
        </w:rPr>
        <w:t xml:space="preserve">update references to affidavits of service to clarify the applicable forms of proof of </w:t>
      </w:r>
      <w:proofErr w:type="gramStart"/>
      <w:r w:rsidRPr="004559C7">
        <w:rPr>
          <w:rFonts w:ascii="Calibri" w:hAnsi="Calibri" w:cs="Calibri"/>
          <w:color w:val="002060"/>
          <w:sz w:val="20"/>
          <w:szCs w:val="20"/>
        </w:rPr>
        <w:t>service;</w:t>
      </w:r>
      <w:proofErr w:type="gramEnd"/>
    </w:p>
    <w:p w14:paraId="1A1F70B7" w14:textId="58757A4E" w:rsidR="004559C7" w:rsidRPr="004559C7" w:rsidRDefault="004559C7" w:rsidP="004559C7">
      <w:pPr>
        <w:pStyle w:val="ListParagraph"/>
        <w:numPr>
          <w:ilvl w:val="0"/>
          <w:numId w:val="5"/>
        </w:numPr>
        <w:rPr>
          <w:rFonts w:ascii="Calibri" w:hAnsi="Calibri" w:cs="Calibri"/>
          <w:color w:val="002060"/>
          <w:sz w:val="20"/>
          <w:szCs w:val="20"/>
        </w:rPr>
      </w:pPr>
      <w:r w:rsidRPr="004559C7">
        <w:rPr>
          <w:rFonts w:ascii="Calibri" w:hAnsi="Calibri" w:cs="Calibri"/>
          <w:color w:val="002060"/>
          <w:sz w:val="20"/>
          <w:szCs w:val="20"/>
        </w:rPr>
        <w:t>prescribe a revised version of the Form 8A affidavit of service to better capture existing service methods and to add information about using a lawyer or paralegal's certificate of service as an alternative form of proof of service; and</w:t>
      </w:r>
    </w:p>
    <w:p w14:paraId="4E6FD3BB" w14:textId="3562ED38" w:rsidR="004559C7" w:rsidRPr="004559C7" w:rsidRDefault="004559C7" w:rsidP="004559C7">
      <w:pPr>
        <w:pStyle w:val="ListParagraph"/>
        <w:numPr>
          <w:ilvl w:val="0"/>
          <w:numId w:val="5"/>
        </w:numPr>
        <w:rPr>
          <w:rFonts w:ascii="Calibri" w:hAnsi="Calibri" w:cs="Calibri"/>
          <w:color w:val="002060"/>
          <w:sz w:val="20"/>
          <w:szCs w:val="20"/>
        </w:rPr>
      </w:pPr>
      <w:r w:rsidRPr="004559C7">
        <w:rPr>
          <w:rFonts w:ascii="Calibri" w:hAnsi="Calibri" w:cs="Calibri"/>
          <w:color w:val="002060"/>
          <w:sz w:val="20"/>
          <w:szCs w:val="20"/>
        </w:rPr>
        <w:t>prescribe revised versions of Forms 7A, 9A, 10A, 15A, and 20H to update their existing references to affidavits of service and make housekeeping updates (</w:t>
      </w:r>
      <w:proofErr w:type="gramStart"/>
      <w:r w:rsidRPr="004559C7">
        <w:rPr>
          <w:rFonts w:ascii="Calibri" w:hAnsi="Calibri" w:cs="Calibri"/>
          <w:color w:val="002060"/>
          <w:sz w:val="20"/>
          <w:szCs w:val="20"/>
        </w:rPr>
        <w:t>e.g.</w:t>
      </w:r>
      <w:proofErr w:type="gramEnd"/>
      <w:r w:rsidRPr="004559C7">
        <w:rPr>
          <w:rFonts w:ascii="Calibri" w:hAnsi="Calibri" w:cs="Calibri"/>
          <w:color w:val="002060"/>
          <w:sz w:val="20"/>
          <w:szCs w:val="20"/>
        </w:rPr>
        <w:t xml:space="preserve"> updated links to Ontario.ca pages).</w:t>
      </w:r>
    </w:p>
    <w:p w14:paraId="2E4371F6" w14:textId="0C1CF857" w:rsidR="00286127" w:rsidRPr="004559C7" w:rsidRDefault="00F730E9" w:rsidP="004559C7">
      <w:pPr>
        <w:ind w:left="720"/>
        <w:rPr>
          <w:color w:val="002060"/>
          <w:sz w:val="20"/>
          <w:szCs w:val="20"/>
        </w:rPr>
      </w:pPr>
      <w:r w:rsidRPr="004559C7">
        <w:rPr>
          <w:color w:val="002060"/>
          <w:sz w:val="20"/>
          <w:szCs w:val="20"/>
        </w:rPr>
        <w:t xml:space="preserve"> </w:t>
      </w:r>
    </w:p>
    <w:p w14:paraId="2305A886" w14:textId="74A7A9B7" w:rsidR="00286127" w:rsidRPr="007D6032" w:rsidRDefault="004F5F8E" w:rsidP="007D6032">
      <w:pPr>
        <w:pStyle w:val="Heading1"/>
      </w:pPr>
      <w:r>
        <w:t>Changes to the book</w:t>
      </w:r>
    </w:p>
    <w:p w14:paraId="030A1615" w14:textId="0A34BE97" w:rsidR="00DC66CF" w:rsidRPr="008A79EB" w:rsidRDefault="00DC66CF" w:rsidP="00B45B4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dr w:val="none" w:sz="0" w:space="0" w:color="auto" w:frame="1"/>
          <w:lang w:eastAsia="en-CA"/>
        </w:rPr>
      </w:pPr>
      <w:r w:rsidRPr="008A79EB">
        <w:rPr>
          <w:rFonts w:eastAsia="Times New Roman" w:cstheme="minorHAnsi"/>
          <w:bdr w:val="none" w:sz="0" w:space="0" w:color="auto" w:frame="1"/>
          <w:lang w:eastAsia="en-CA"/>
        </w:rPr>
        <w:t xml:space="preserve">The new form, Form 8B, Lawyer or Paralegal’s Certificate of Service, </w:t>
      </w:r>
      <w:r w:rsidR="00420AFE" w:rsidRPr="008A79EB">
        <w:rPr>
          <w:rFonts w:eastAsia="Times New Roman" w:cstheme="minorHAnsi"/>
          <w:bdr w:val="none" w:sz="0" w:space="0" w:color="auto" w:frame="1"/>
          <w:lang w:eastAsia="en-CA"/>
        </w:rPr>
        <w:t>may</w:t>
      </w:r>
      <w:r w:rsidRPr="008A79EB">
        <w:rPr>
          <w:rFonts w:eastAsia="Times New Roman" w:cstheme="minorHAnsi"/>
          <w:bdr w:val="none" w:sz="0" w:space="0" w:color="auto" w:frame="1"/>
          <w:lang w:eastAsia="en-CA"/>
        </w:rPr>
        <w:t xml:space="preserve"> be used in place of Form 8A, wherever a lawyer or paralegal serves or causes the documents to be served. A sample </w:t>
      </w:r>
      <w:r w:rsidR="00A17EBF" w:rsidRPr="008A79EB">
        <w:rPr>
          <w:rFonts w:eastAsia="Times New Roman" w:cstheme="minorHAnsi"/>
          <w:bdr w:val="none" w:sz="0" w:space="0" w:color="auto" w:frame="1"/>
          <w:lang w:eastAsia="en-CA"/>
        </w:rPr>
        <w:t xml:space="preserve">filled-out </w:t>
      </w:r>
      <w:r w:rsidRPr="008A79EB">
        <w:rPr>
          <w:rFonts w:eastAsia="Times New Roman" w:cstheme="minorHAnsi"/>
          <w:bdr w:val="none" w:sz="0" w:space="0" w:color="auto" w:frame="1"/>
          <w:lang w:eastAsia="en-CA"/>
        </w:rPr>
        <w:t xml:space="preserve">Form 8B has been provided, with details for Chong v Kingman (Appendix 4.6) filled out. </w:t>
      </w:r>
    </w:p>
    <w:p w14:paraId="127A5BD1" w14:textId="5170E4CA" w:rsidR="00A17EBF" w:rsidRDefault="00A17EBF" w:rsidP="0029120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dr w:val="none" w:sz="0" w:space="0" w:color="auto" w:frame="1"/>
          <w:lang w:eastAsia="en-CA"/>
        </w:rPr>
      </w:pPr>
      <w:r w:rsidRPr="00A17EBF">
        <w:rPr>
          <w:rFonts w:eastAsia="Times New Roman" w:cstheme="minorHAnsi"/>
          <w:bdr w:val="none" w:sz="0" w:space="0" w:color="auto" w:frame="1"/>
          <w:lang w:eastAsia="en-CA"/>
        </w:rPr>
        <w:t>Ch 4, page 145, states “Rule 8.06 states that an</w:t>
      </w:r>
      <w:r>
        <w:rPr>
          <w:rFonts w:eastAsia="Times New Roman" w:cstheme="minorHAnsi"/>
          <w:bdr w:val="none" w:sz="0" w:space="0" w:color="auto" w:frame="1"/>
          <w:lang w:eastAsia="en-CA"/>
        </w:rPr>
        <w:t xml:space="preserve"> </w:t>
      </w:r>
      <w:r w:rsidRPr="00A17EBF">
        <w:rPr>
          <w:rFonts w:eastAsia="Times New Roman" w:cstheme="minorHAnsi"/>
          <w:bdr w:val="none" w:sz="0" w:space="0" w:color="auto" w:frame="1"/>
          <w:lang w:eastAsia="en-CA"/>
        </w:rPr>
        <w:t>affidavit of service (Form 8A) constitutes proof of service of a document.</w:t>
      </w:r>
      <w:r>
        <w:rPr>
          <w:rFonts w:eastAsia="Times New Roman" w:cstheme="minorHAnsi"/>
          <w:bdr w:val="none" w:sz="0" w:space="0" w:color="auto" w:frame="1"/>
          <w:lang w:eastAsia="en-CA"/>
        </w:rPr>
        <w:t xml:space="preserve">” </w:t>
      </w:r>
    </w:p>
    <w:p w14:paraId="6304F05A" w14:textId="5982B0F2" w:rsidR="00A17EBF" w:rsidRDefault="00A17EBF" w:rsidP="00A17EB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bdr w:val="none" w:sz="0" w:space="0" w:color="auto" w:frame="1"/>
          <w:lang w:eastAsia="en-CA"/>
        </w:rPr>
      </w:pPr>
      <w:r>
        <w:rPr>
          <w:rFonts w:eastAsia="Times New Roman" w:cstheme="minorHAnsi"/>
          <w:bdr w:val="none" w:sz="0" w:space="0" w:color="auto" w:frame="1"/>
          <w:lang w:eastAsia="en-CA"/>
        </w:rPr>
        <w:lastRenderedPageBreak/>
        <w:t xml:space="preserve">This should now read: </w:t>
      </w:r>
      <w:r w:rsidR="00C620CC">
        <w:rPr>
          <w:rFonts w:eastAsia="Times New Roman" w:cstheme="minorHAnsi"/>
          <w:bdr w:val="none" w:sz="0" w:space="0" w:color="auto" w:frame="1"/>
          <w:lang w:eastAsia="en-CA"/>
        </w:rPr>
        <w:t>“</w:t>
      </w:r>
      <w:r w:rsidR="00C620CC" w:rsidRPr="00A17EBF">
        <w:rPr>
          <w:rFonts w:eastAsia="Times New Roman" w:cstheme="minorHAnsi"/>
          <w:bdr w:val="none" w:sz="0" w:space="0" w:color="auto" w:frame="1"/>
          <w:lang w:eastAsia="en-CA"/>
        </w:rPr>
        <w:t>Rule 8.0</w:t>
      </w:r>
      <w:r w:rsidR="00C620CC">
        <w:rPr>
          <w:rFonts w:eastAsia="Times New Roman" w:cstheme="minorHAnsi"/>
          <w:bdr w:val="none" w:sz="0" w:space="0" w:color="auto" w:frame="1"/>
          <w:lang w:eastAsia="en-CA"/>
        </w:rPr>
        <w:t>9.1</w:t>
      </w:r>
      <w:r w:rsidR="00C620CC" w:rsidRPr="00A17EBF">
        <w:rPr>
          <w:rFonts w:eastAsia="Times New Roman" w:cstheme="minorHAnsi"/>
          <w:bdr w:val="none" w:sz="0" w:space="0" w:color="auto" w:frame="1"/>
          <w:lang w:eastAsia="en-CA"/>
        </w:rPr>
        <w:t xml:space="preserve"> states that an</w:t>
      </w:r>
      <w:r w:rsidR="00C620CC">
        <w:rPr>
          <w:rFonts w:eastAsia="Times New Roman" w:cstheme="minorHAnsi"/>
          <w:bdr w:val="none" w:sz="0" w:space="0" w:color="auto" w:frame="1"/>
          <w:lang w:eastAsia="en-CA"/>
        </w:rPr>
        <w:t xml:space="preserve"> </w:t>
      </w:r>
      <w:r w:rsidR="00C620CC" w:rsidRPr="00A17EBF">
        <w:rPr>
          <w:rFonts w:eastAsia="Times New Roman" w:cstheme="minorHAnsi"/>
          <w:bdr w:val="none" w:sz="0" w:space="0" w:color="auto" w:frame="1"/>
          <w:lang w:eastAsia="en-CA"/>
        </w:rPr>
        <w:t xml:space="preserve">affidavit of service (Form 8A) </w:t>
      </w:r>
      <w:r w:rsidR="00C620CC">
        <w:rPr>
          <w:rFonts w:eastAsia="Times New Roman" w:cstheme="minorHAnsi"/>
          <w:bdr w:val="none" w:sz="0" w:space="0" w:color="auto" w:frame="1"/>
          <w:lang w:eastAsia="en-CA"/>
        </w:rPr>
        <w:t xml:space="preserve">or a </w:t>
      </w:r>
      <w:r w:rsidR="00C620CC" w:rsidRPr="00C620CC">
        <w:rPr>
          <w:rFonts w:eastAsia="Times New Roman" w:cstheme="minorHAnsi"/>
          <w:bdr w:val="none" w:sz="0" w:space="0" w:color="auto" w:frame="1"/>
          <w:lang w:eastAsia="en-CA"/>
        </w:rPr>
        <w:t xml:space="preserve">certificate of service (Form 8B) </w:t>
      </w:r>
      <w:r w:rsidR="00C620CC" w:rsidRPr="00A17EBF">
        <w:rPr>
          <w:rFonts w:eastAsia="Times New Roman" w:cstheme="minorHAnsi"/>
          <w:bdr w:val="none" w:sz="0" w:space="0" w:color="auto" w:frame="1"/>
          <w:lang w:eastAsia="en-CA"/>
        </w:rPr>
        <w:t>constitutes proof of service of a document</w:t>
      </w:r>
      <w:r w:rsidR="00C620CC">
        <w:rPr>
          <w:rFonts w:eastAsia="Times New Roman" w:cstheme="minorHAnsi"/>
          <w:bdr w:val="none" w:sz="0" w:space="0" w:color="auto" w:frame="1"/>
          <w:lang w:eastAsia="en-CA"/>
        </w:rPr>
        <w:t xml:space="preserve">. The certificate of service is new as of January 30, </w:t>
      </w:r>
      <w:proofErr w:type="gramStart"/>
      <w:r w:rsidR="00C620CC">
        <w:rPr>
          <w:rFonts w:eastAsia="Times New Roman" w:cstheme="minorHAnsi"/>
          <w:bdr w:val="none" w:sz="0" w:space="0" w:color="auto" w:frame="1"/>
          <w:lang w:eastAsia="en-CA"/>
        </w:rPr>
        <w:t>2023</w:t>
      </w:r>
      <w:proofErr w:type="gramEnd"/>
      <w:r w:rsidR="00C620CC">
        <w:rPr>
          <w:rFonts w:eastAsia="Times New Roman" w:cstheme="minorHAnsi"/>
          <w:bdr w:val="none" w:sz="0" w:space="0" w:color="auto" w:frame="1"/>
          <w:lang w:eastAsia="en-CA"/>
        </w:rPr>
        <w:t xml:space="preserve"> and may be used </w:t>
      </w:r>
      <w:r w:rsidR="00C620CC" w:rsidRPr="00C620CC">
        <w:rPr>
          <w:rFonts w:eastAsia="Times New Roman" w:cstheme="minorHAnsi"/>
          <w:bdr w:val="none" w:sz="0" w:space="0" w:color="auto" w:frame="1"/>
          <w:lang w:eastAsia="en-CA"/>
        </w:rPr>
        <w:t>if the lawyer or paralegal served the document or caused it to be served and is satisfied that service was effected.</w:t>
      </w:r>
      <w:r w:rsidR="00BD7421">
        <w:rPr>
          <w:rFonts w:eastAsia="Times New Roman" w:cstheme="minorHAnsi"/>
          <w:bdr w:val="none" w:sz="0" w:space="0" w:color="auto" w:frame="1"/>
          <w:lang w:eastAsia="en-CA"/>
        </w:rPr>
        <w:t>”</w:t>
      </w:r>
    </w:p>
    <w:p w14:paraId="528C7E8C" w14:textId="77777777" w:rsidR="00A17EBF" w:rsidRPr="00A17EBF" w:rsidRDefault="00A17EBF" w:rsidP="00A17EBF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theme="minorHAnsi"/>
          <w:bdr w:val="none" w:sz="0" w:space="0" w:color="auto" w:frame="1"/>
          <w:lang w:eastAsia="en-CA"/>
        </w:rPr>
      </w:pPr>
    </w:p>
    <w:p w14:paraId="38DBBA54" w14:textId="5187BC55" w:rsidR="008D0B49" w:rsidRDefault="008D0B49" w:rsidP="0034431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bdr w:val="none" w:sz="0" w:space="0" w:color="auto" w:frame="1"/>
          <w:lang w:eastAsia="en-CA"/>
        </w:rPr>
      </w:pPr>
      <w:r w:rsidRPr="008D0B49">
        <w:rPr>
          <w:rFonts w:eastAsia="Times New Roman" w:cstheme="minorHAnsi"/>
          <w:bdr w:val="none" w:sz="0" w:space="0" w:color="auto" w:frame="1"/>
          <w:lang w:eastAsia="en-CA"/>
        </w:rPr>
        <w:t>Chapter 10, page 503 says “Proof of service of the garnishment documents on the garnishee and the debtor is</w:t>
      </w:r>
      <w:r>
        <w:rPr>
          <w:rFonts w:eastAsia="Times New Roman" w:cstheme="minorHAnsi"/>
          <w:bdr w:val="none" w:sz="0" w:space="0" w:color="auto" w:frame="1"/>
          <w:lang w:eastAsia="en-CA"/>
        </w:rPr>
        <w:t xml:space="preserve"> </w:t>
      </w:r>
      <w:r w:rsidRPr="008D0B49">
        <w:rPr>
          <w:rFonts w:eastAsia="Times New Roman" w:cstheme="minorHAnsi"/>
          <w:bdr w:val="none" w:sz="0" w:space="0" w:color="auto" w:frame="1"/>
          <w:lang w:eastAsia="en-CA"/>
        </w:rPr>
        <w:t>by affidavits of service (Rule 20.08(6.3)).”</w:t>
      </w:r>
      <w:r>
        <w:rPr>
          <w:rFonts w:eastAsia="Times New Roman" w:cstheme="minorHAnsi"/>
          <w:bdr w:val="none" w:sz="0" w:space="0" w:color="auto" w:frame="1"/>
          <w:lang w:eastAsia="en-CA"/>
        </w:rPr>
        <w:t xml:space="preserve"> However, Rule 20.08(6.3) is being revoked as of January 30, </w:t>
      </w:r>
      <w:proofErr w:type="gramStart"/>
      <w:r>
        <w:rPr>
          <w:rFonts w:eastAsia="Times New Roman" w:cstheme="minorHAnsi"/>
          <w:bdr w:val="none" w:sz="0" w:space="0" w:color="auto" w:frame="1"/>
          <w:lang w:eastAsia="en-CA"/>
        </w:rPr>
        <w:t>2023</w:t>
      </w:r>
      <w:proofErr w:type="gramEnd"/>
      <w:r>
        <w:rPr>
          <w:rFonts w:eastAsia="Times New Roman" w:cstheme="minorHAnsi"/>
          <w:bdr w:val="none" w:sz="0" w:space="0" w:color="auto" w:frame="1"/>
          <w:lang w:eastAsia="en-CA"/>
        </w:rPr>
        <w:t xml:space="preserve"> because the rule related to proof of service is captured in the new Rule 8.09.1. </w:t>
      </w:r>
      <w:r w:rsidR="00CC7907">
        <w:rPr>
          <w:rFonts w:eastAsia="Times New Roman" w:cstheme="minorHAnsi"/>
          <w:bdr w:val="none" w:sz="0" w:space="0" w:color="auto" w:frame="1"/>
          <w:lang w:eastAsia="en-CA"/>
        </w:rPr>
        <w:t>Proof of service can be made by</w:t>
      </w:r>
      <w:r w:rsidR="00CC7907" w:rsidRPr="00CC7907">
        <w:rPr>
          <w:rFonts w:eastAsia="Times New Roman" w:cstheme="minorHAnsi"/>
          <w:bdr w:val="none" w:sz="0" w:space="0" w:color="auto" w:frame="1"/>
          <w:lang w:eastAsia="en-CA"/>
        </w:rPr>
        <w:t xml:space="preserve"> an affidavit of service (Form 8A) or lawyer or paralegal’s certificate of service (Form 8B)</w:t>
      </w:r>
      <w:r w:rsidR="00CC7907">
        <w:rPr>
          <w:rFonts w:eastAsia="Times New Roman" w:cstheme="minorHAnsi"/>
          <w:bdr w:val="none" w:sz="0" w:space="0" w:color="auto" w:frame="1"/>
          <w:lang w:eastAsia="en-CA"/>
        </w:rPr>
        <w:t xml:space="preserve">. </w:t>
      </w:r>
    </w:p>
    <w:p w14:paraId="311F6A5C" w14:textId="5F50EEC8" w:rsidR="00A04E58" w:rsidRPr="00B45B4A" w:rsidRDefault="00A04E58" w:rsidP="00CC7907">
      <w:pPr>
        <w:pStyle w:val="ListParagraph"/>
        <w:shd w:val="clear" w:color="auto" w:fill="FFFFFF"/>
        <w:spacing w:after="0" w:line="240" w:lineRule="auto"/>
        <w:ind w:left="1080"/>
        <w:rPr>
          <w:rFonts w:eastAsia="Times New Roman" w:cstheme="minorHAnsi"/>
          <w:bdr w:val="none" w:sz="0" w:space="0" w:color="auto" w:frame="1"/>
          <w:lang w:eastAsia="en-CA"/>
        </w:rPr>
      </w:pPr>
    </w:p>
    <w:sectPr w:rsidR="00A04E58" w:rsidRPr="00B45B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F16"/>
    <w:multiLevelType w:val="hybridMultilevel"/>
    <w:tmpl w:val="EEDE4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0690"/>
    <w:multiLevelType w:val="hybridMultilevel"/>
    <w:tmpl w:val="2668A886"/>
    <w:lvl w:ilvl="0" w:tplc="F61A0188">
      <w:numFmt w:val="bullet"/>
      <w:lvlText w:val="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440451"/>
    <w:multiLevelType w:val="multilevel"/>
    <w:tmpl w:val="737A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84FA3"/>
    <w:multiLevelType w:val="hybridMultilevel"/>
    <w:tmpl w:val="C31EFCD2"/>
    <w:lvl w:ilvl="0" w:tplc="93468FF4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1A7C65"/>
    <w:multiLevelType w:val="hybridMultilevel"/>
    <w:tmpl w:val="F4A60D1C"/>
    <w:lvl w:ilvl="0" w:tplc="93468FF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27C7A"/>
    <w:multiLevelType w:val="hybridMultilevel"/>
    <w:tmpl w:val="68CE1E00"/>
    <w:lvl w:ilvl="0" w:tplc="CB6C8DB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9879307">
    <w:abstractNumId w:val="2"/>
  </w:num>
  <w:num w:numId="2" w16cid:durableId="1024289175">
    <w:abstractNumId w:val="0"/>
  </w:num>
  <w:num w:numId="3" w16cid:durableId="1606230593">
    <w:abstractNumId w:val="4"/>
  </w:num>
  <w:num w:numId="4" w16cid:durableId="808741680">
    <w:abstractNumId w:val="3"/>
  </w:num>
  <w:num w:numId="5" w16cid:durableId="1513760899">
    <w:abstractNumId w:val="5"/>
  </w:num>
  <w:num w:numId="6" w16cid:durableId="153126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58"/>
    <w:rsid w:val="00086C74"/>
    <w:rsid w:val="00286127"/>
    <w:rsid w:val="002A7909"/>
    <w:rsid w:val="00420AFE"/>
    <w:rsid w:val="004559C7"/>
    <w:rsid w:val="004F5F8E"/>
    <w:rsid w:val="005130BB"/>
    <w:rsid w:val="00532127"/>
    <w:rsid w:val="006661A4"/>
    <w:rsid w:val="00747AF4"/>
    <w:rsid w:val="007D6032"/>
    <w:rsid w:val="00852479"/>
    <w:rsid w:val="008A79EB"/>
    <w:rsid w:val="008D0B49"/>
    <w:rsid w:val="009039E5"/>
    <w:rsid w:val="00A04E58"/>
    <w:rsid w:val="00A17EBF"/>
    <w:rsid w:val="00A23801"/>
    <w:rsid w:val="00B128EF"/>
    <w:rsid w:val="00B45B4A"/>
    <w:rsid w:val="00BB771E"/>
    <w:rsid w:val="00BD7421"/>
    <w:rsid w:val="00C17028"/>
    <w:rsid w:val="00C620CC"/>
    <w:rsid w:val="00CC7907"/>
    <w:rsid w:val="00D0529F"/>
    <w:rsid w:val="00DC66CF"/>
    <w:rsid w:val="00EB4A05"/>
    <w:rsid w:val="00F730E9"/>
    <w:rsid w:val="00FB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6A01"/>
  <w15:chartTrackingRefBased/>
  <w15:docId w15:val="{AE497F3A-37C2-44E9-8A82-D22443C2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ordsection1">
    <w:name w:val="wordsection1"/>
    <w:basedOn w:val="Normal"/>
    <w:rsid w:val="0028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28612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861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F730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9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ntariocanada.com/registry/view.do?postingId=43068&amp;language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Olivo</dc:creator>
  <cp:keywords/>
  <dc:description/>
  <cp:lastModifiedBy>Laura Bast</cp:lastModifiedBy>
  <cp:revision>19</cp:revision>
  <dcterms:created xsi:type="dcterms:W3CDTF">2022-11-30T13:43:00Z</dcterms:created>
  <dcterms:modified xsi:type="dcterms:W3CDTF">2022-12-05T21:40:00Z</dcterms:modified>
</cp:coreProperties>
</file>