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51D0" w14:textId="77777777" w:rsidR="00970065" w:rsidRDefault="00970065" w:rsidP="00970065">
      <w:pPr>
        <w:pStyle w:val="Heading1"/>
        <w:spacing w:before="0" w:after="120"/>
      </w:pPr>
      <w:r>
        <w:t>Civil Litigation, Revised, 4th Edition</w:t>
      </w:r>
    </w:p>
    <w:p w14:paraId="69196453" w14:textId="45FED12B" w:rsidR="00E85D63" w:rsidRDefault="00E85D63" w:rsidP="00970065">
      <w:pPr>
        <w:pStyle w:val="Heading1"/>
        <w:spacing w:before="0" w:after="120"/>
      </w:pPr>
      <w:r>
        <w:t>Errata</w:t>
      </w:r>
    </w:p>
    <w:p w14:paraId="086C3DB2" w14:textId="3B8798BA" w:rsidR="00044310" w:rsidRDefault="00044310" w:rsidP="00970065">
      <w:pPr>
        <w:spacing w:after="120"/>
      </w:pPr>
    </w:p>
    <w:p w14:paraId="441F480C" w14:textId="4761F2BE" w:rsidR="00044310" w:rsidRDefault="00044310" w:rsidP="00970065">
      <w:pPr>
        <w:spacing w:after="120"/>
        <w:rPr>
          <w:rFonts w:ascii="Calibri" w:eastAsia="Times New Roman" w:hAnsi="Calibri" w:cs="Calibri"/>
          <w:color w:val="333333"/>
          <w:lang w:eastAsia="en-GB"/>
        </w:rPr>
      </w:pPr>
      <w:r w:rsidRPr="001A4638">
        <w:rPr>
          <w:rFonts w:ascii="Calibri" w:hAnsi="Calibri" w:cs="Calibri"/>
        </w:rPr>
        <w:t xml:space="preserve">Please note that the </w:t>
      </w:r>
      <w:proofErr w:type="spellStart"/>
      <w:r w:rsidRPr="001A4638">
        <w:rPr>
          <w:rFonts w:ascii="Calibri" w:eastAsia="Times New Roman" w:hAnsi="Calibri" w:cs="Calibri"/>
          <w:color w:val="333333"/>
          <w:lang w:eastAsia="en-GB"/>
        </w:rPr>
        <w:t>ebooks</w:t>
      </w:r>
      <w:proofErr w:type="spellEnd"/>
      <w:r w:rsidRPr="001A4638">
        <w:rPr>
          <w:rFonts w:ascii="Calibri" w:eastAsia="Times New Roman" w:hAnsi="Calibri" w:cs="Calibri"/>
          <w:color w:val="333333"/>
          <w:lang w:eastAsia="en-GB"/>
        </w:rPr>
        <w:t xml:space="preserve"> </w:t>
      </w:r>
      <w:r>
        <w:rPr>
          <w:rFonts w:ascii="Calibri" w:eastAsia="Times New Roman" w:hAnsi="Calibri" w:cs="Calibri"/>
          <w:color w:val="333333"/>
          <w:lang w:eastAsia="en-GB"/>
        </w:rPr>
        <w:t xml:space="preserve">have been corrected as of </w:t>
      </w:r>
      <w:r w:rsidRPr="00B935D4">
        <w:rPr>
          <w:rFonts w:ascii="Calibri" w:eastAsia="Times New Roman" w:hAnsi="Calibri" w:cs="Calibri"/>
          <w:b/>
          <w:bCs/>
          <w:color w:val="333333"/>
          <w:lang w:eastAsia="en-GB"/>
        </w:rPr>
        <w:t>June 16, 2023,</w:t>
      </w:r>
      <w:r>
        <w:rPr>
          <w:rFonts w:ascii="Calibri" w:eastAsia="Times New Roman" w:hAnsi="Calibri" w:cs="Calibri"/>
          <w:color w:val="333333"/>
          <w:lang w:eastAsia="en-GB"/>
        </w:rPr>
        <w:t xml:space="preserve"> to reflect </w:t>
      </w:r>
      <w:proofErr w:type="gramStart"/>
      <w:r>
        <w:rPr>
          <w:rFonts w:ascii="Calibri" w:eastAsia="Times New Roman" w:hAnsi="Calibri" w:cs="Calibri"/>
          <w:color w:val="333333"/>
          <w:lang w:eastAsia="en-GB"/>
        </w:rPr>
        <w:t>all of</w:t>
      </w:r>
      <w:proofErr w:type="gramEnd"/>
      <w:r>
        <w:rPr>
          <w:rFonts w:ascii="Calibri" w:eastAsia="Times New Roman" w:hAnsi="Calibri" w:cs="Calibri"/>
          <w:color w:val="333333"/>
          <w:lang w:eastAsia="en-GB"/>
        </w:rPr>
        <w:t xml:space="preserve"> the changes below. </w:t>
      </w:r>
    </w:p>
    <w:p w14:paraId="7F1BCFB2" w14:textId="0195E19E" w:rsidR="00044310" w:rsidRPr="001A4638" w:rsidRDefault="00044310" w:rsidP="00970065">
      <w:pPr>
        <w:spacing w:after="120"/>
        <w:rPr>
          <w:rFonts w:ascii="Calibri" w:eastAsia="Times New Roman" w:hAnsi="Calibri" w:cs="Calibri"/>
          <w:color w:val="000000"/>
          <w:lang w:eastAsia="en-GB"/>
        </w:rPr>
      </w:pPr>
      <w:r>
        <w:rPr>
          <w:rFonts w:ascii="Calibri" w:eastAsia="Times New Roman" w:hAnsi="Calibri" w:cs="Calibri"/>
          <w:color w:val="333333"/>
          <w:lang w:eastAsia="en-GB"/>
        </w:rPr>
        <w:t>However, only the</w:t>
      </w:r>
      <w:r w:rsidRPr="001A4638">
        <w:rPr>
          <w:rFonts w:ascii="Calibri" w:eastAsia="Times New Roman" w:hAnsi="Calibri" w:cs="Calibri"/>
          <w:color w:val="333333"/>
          <w:lang w:eastAsia="en-GB"/>
        </w:rPr>
        <w:t xml:space="preserve"> print books reprinted </w:t>
      </w:r>
      <w:r w:rsidRPr="003B0BCB">
        <w:rPr>
          <w:rFonts w:ascii="Calibri" w:eastAsia="Times New Roman" w:hAnsi="Calibri" w:cs="Calibri"/>
          <w:b/>
          <w:bCs/>
          <w:color w:val="333333"/>
          <w:lang w:eastAsia="en-GB"/>
        </w:rPr>
        <w:t>after June 2023</w:t>
      </w:r>
      <w:r w:rsidRPr="001A4638">
        <w:rPr>
          <w:rFonts w:ascii="Calibri" w:eastAsia="Times New Roman" w:hAnsi="Calibri" w:cs="Calibri"/>
          <w:color w:val="333333"/>
          <w:lang w:eastAsia="en-GB"/>
        </w:rPr>
        <w:t xml:space="preserve"> </w:t>
      </w:r>
      <w:r>
        <w:rPr>
          <w:rFonts w:ascii="Calibri" w:eastAsia="Times New Roman" w:hAnsi="Calibri" w:cs="Calibri"/>
          <w:color w:val="333333"/>
          <w:lang w:eastAsia="en-GB"/>
        </w:rPr>
        <w:t>will have th</w:t>
      </w:r>
      <w:r w:rsidR="00C23318">
        <w:rPr>
          <w:rFonts w:ascii="Calibri" w:eastAsia="Times New Roman" w:hAnsi="Calibri" w:cs="Calibri"/>
          <w:color w:val="333333"/>
          <w:lang w:eastAsia="en-GB"/>
        </w:rPr>
        <w:t>e chapter 6 (below)</w:t>
      </w:r>
      <w:r>
        <w:rPr>
          <w:rFonts w:ascii="Calibri" w:eastAsia="Times New Roman" w:hAnsi="Calibri" w:cs="Calibri"/>
          <w:color w:val="333333"/>
          <w:lang w:eastAsia="en-GB"/>
        </w:rPr>
        <w:t xml:space="preserve"> correction</w:t>
      </w:r>
      <w:r w:rsidR="00C23318">
        <w:rPr>
          <w:rFonts w:ascii="Calibri" w:eastAsia="Times New Roman" w:hAnsi="Calibri" w:cs="Calibri"/>
          <w:color w:val="333333"/>
          <w:lang w:eastAsia="en-GB"/>
        </w:rPr>
        <w:t xml:space="preserve"> implemented</w:t>
      </w:r>
      <w:r w:rsidRPr="001A4638">
        <w:rPr>
          <w:rFonts w:ascii="Calibri" w:eastAsia="Times New Roman" w:hAnsi="Calibri" w:cs="Calibri"/>
          <w:color w:val="333333"/>
          <w:lang w:eastAsia="en-GB"/>
        </w:rPr>
        <w:t>.</w:t>
      </w:r>
      <w:r>
        <w:rPr>
          <w:rFonts w:ascii="Calibri" w:eastAsia="Times New Roman" w:hAnsi="Calibri" w:cs="Calibri"/>
          <w:color w:val="333333"/>
          <w:lang w:eastAsia="en-GB"/>
        </w:rPr>
        <w:t xml:space="preserve"> </w:t>
      </w:r>
      <w:r w:rsidRPr="001A4638">
        <w:rPr>
          <w:rFonts w:ascii="Calibri" w:eastAsia="Times New Roman" w:hAnsi="Calibri" w:cs="Calibri"/>
          <w:color w:val="333333"/>
          <w:lang w:eastAsia="en-GB"/>
        </w:rPr>
        <w:t>To see if your book is a reprint, go to the copyright page and check for a note under the line “Printed in Canada.”</w:t>
      </w:r>
    </w:p>
    <w:p w14:paraId="1E725FE2" w14:textId="77777777" w:rsidR="00044310" w:rsidRDefault="00044310" w:rsidP="00970065">
      <w:pPr>
        <w:spacing w:after="120"/>
        <w:rPr>
          <w:b/>
          <w:bCs/>
        </w:rPr>
      </w:pPr>
    </w:p>
    <w:p w14:paraId="1EFBD280" w14:textId="13AA4FF9" w:rsidR="00044310" w:rsidRPr="00970065" w:rsidRDefault="00044310" w:rsidP="00970065">
      <w:pPr>
        <w:spacing w:after="120"/>
        <w:rPr>
          <w:b/>
          <w:bCs/>
          <w:i/>
          <w:iCs/>
          <w:u w:val="single"/>
        </w:rPr>
      </w:pPr>
      <w:r w:rsidRPr="00044310">
        <w:rPr>
          <w:b/>
          <w:bCs/>
          <w:i/>
          <w:iCs/>
          <w:u w:val="single"/>
        </w:rPr>
        <w:t>June 2023</w:t>
      </w:r>
    </w:p>
    <w:p w14:paraId="3DC728C1" w14:textId="77777777" w:rsidR="00044310" w:rsidRPr="00CE3DC5" w:rsidRDefault="00044310" w:rsidP="00970065">
      <w:pPr>
        <w:spacing w:after="1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There i</w:t>
      </w:r>
      <w:r w:rsidRPr="00CE3DC5">
        <w:rPr>
          <w:rFonts w:ascii="Calibri" w:eastAsia="Times New Roman" w:hAnsi="Calibri" w:cs="Calibri"/>
          <w:color w:val="000000"/>
          <w:sz w:val="22"/>
          <w:szCs w:val="22"/>
          <w:lang w:eastAsia="en-GB"/>
        </w:rPr>
        <w:t>s an error in Chapter 6</w:t>
      </w:r>
      <w:r>
        <w:rPr>
          <w:rFonts w:ascii="Calibri" w:eastAsia="Times New Roman" w:hAnsi="Calibri" w:cs="Calibri"/>
          <w:color w:val="000000"/>
          <w:sz w:val="22"/>
          <w:szCs w:val="22"/>
          <w:lang w:eastAsia="en-GB"/>
        </w:rPr>
        <w:t xml:space="preserve">, </w:t>
      </w:r>
      <w:r w:rsidRPr="00CE3DC5">
        <w:rPr>
          <w:rFonts w:ascii="Calibri" w:eastAsia="Times New Roman" w:hAnsi="Calibri" w:cs="Calibri"/>
          <w:color w:val="000000"/>
          <w:sz w:val="22"/>
          <w:szCs w:val="22"/>
          <w:lang w:eastAsia="en-GB"/>
        </w:rPr>
        <w:t>page 153</w:t>
      </w:r>
      <w:r>
        <w:rPr>
          <w:rFonts w:ascii="Calibri" w:eastAsia="Times New Roman" w:hAnsi="Calibri" w:cs="Calibri"/>
          <w:color w:val="000000"/>
          <w:sz w:val="22"/>
          <w:szCs w:val="22"/>
          <w:lang w:eastAsia="en-GB"/>
        </w:rPr>
        <w:t xml:space="preserve">. </w:t>
      </w:r>
      <w:r w:rsidRPr="00CE3DC5">
        <w:rPr>
          <w:rFonts w:ascii="Calibri" w:eastAsia="Times New Roman" w:hAnsi="Calibri" w:cs="Calibri"/>
          <w:color w:val="000000"/>
          <w:sz w:val="22"/>
          <w:szCs w:val="22"/>
          <w:lang w:eastAsia="en-GB"/>
        </w:rPr>
        <w:t>The book states the following:</w:t>
      </w:r>
    </w:p>
    <w:p w14:paraId="1C734D0E" w14:textId="77777777" w:rsidR="00044310" w:rsidRPr="00CE3DC5" w:rsidRDefault="00044310" w:rsidP="00970065">
      <w:pPr>
        <w:spacing w:after="120"/>
        <w:rPr>
          <w:rFonts w:ascii="Calibri" w:eastAsia="Times New Roman" w:hAnsi="Calibri" w:cs="Calibri"/>
          <w:color w:val="000000"/>
          <w:sz w:val="22"/>
          <w:szCs w:val="22"/>
          <w:lang w:eastAsia="en-GB"/>
        </w:rPr>
      </w:pPr>
      <w:r w:rsidRPr="00CE3DC5">
        <w:rPr>
          <w:rFonts w:ascii="Calibri" w:eastAsia="Times New Roman" w:hAnsi="Calibri" w:cs="Calibri"/>
          <w:color w:val="000000"/>
          <w:sz w:val="22"/>
          <w:szCs w:val="22"/>
          <w:lang w:eastAsia="en-GB"/>
        </w:rPr>
        <w:t> </w:t>
      </w:r>
    </w:p>
    <w:p w14:paraId="0E5FDCDE" w14:textId="77777777" w:rsidR="00044310" w:rsidRPr="00CE3DC5" w:rsidRDefault="00044310" w:rsidP="00970065">
      <w:pPr>
        <w:spacing w:after="120"/>
        <w:ind w:left="720"/>
        <w:rPr>
          <w:rFonts w:ascii="Calibri" w:eastAsia="Times New Roman" w:hAnsi="Calibri" w:cs="Calibri"/>
          <w:color w:val="000000"/>
          <w:sz w:val="22"/>
          <w:szCs w:val="22"/>
          <w:lang w:eastAsia="en-GB"/>
        </w:rPr>
      </w:pPr>
      <w:r w:rsidRPr="00CE3DC5">
        <w:rPr>
          <w:rFonts w:ascii="Calibri" w:eastAsia="Times New Roman" w:hAnsi="Calibri" w:cs="Calibri"/>
          <w:b/>
          <w:bCs/>
          <w:color w:val="000000"/>
          <w:sz w:val="22"/>
          <w:szCs w:val="22"/>
          <w:u w:val="single"/>
          <w:lang w:eastAsia="en-GB"/>
        </w:rPr>
        <w:t>Material for Use on the Application</w:t>
      </w:r>
    </w:p>
    <w:p w14:paraId="0EA8EEC4" w14:textId="77777777" w:rsidR="00044310" w:rsidRPr="00CE3DC5" w:rsidRDefault="00044310" w:rsidP="00970065">
      <w:pPr>
        <w:spacing w:after="120"/>
        <w:ind w:left="720"/>
        <w:rPr>
          <w:rFonts w:ascii="Calibri" w:eastAsia="Times New Roman" w:hAnsi="Calibri" w:cs="Calibri"/>
          <w:color w:val="000000"/>
          <w:sz w:val="22"/>
          <w:szCs w:val="22"/>
          <w:lang w:eastAsia="en-GB"/>
        </w:rPr>
      </w:pPr>
      <w:r w:rsidRPr="00CE3DC5">
        <w:rPr>
          <w:rFonts w:ascii="Calibri" w:eastAsia="Times New Roman" w:hAnsi="Calibri" w:cs="Calibri"/>
          <w:b/>
          <w:bCs/>
          <w:color w:val="000000"/>
          <w:sz w:val="22"/>
          <w:szCs w:val="22"/>
          <w:lang w:eastAsia="en-GB"/>
        </w:rPr>
        <w:t> </w:t>
      </w:r>
    </w:p>
    <w:p w14:paraId="01DC9EF0" w14:textId="77777777" w:rsidR="00044310" w:rsidRPr="00CE3DC5" w:rsidRDefault="00044310" w:rsidP="00970065">
      <w:pPr>
        <w:spacing w:after="120"/>
        <w:ind w:left="720"/>
        <w:rPr>
          <w:rFonts w:ascii="Calibri" w:eastAsia="Times New Roman" w:hAnsi="Calibri" w:cs="Calibri"/>
          <w:color w:val="000000"/>
          <w:sz w:val="22"/>
          <w:szCs w:val="22"/>
          <w:lang w:eastAsia="en-GB"/>
        </w:rPr>
      </w:pPr>
      <w:r w:rsidRPr="00CE3DC5">
        <w:rPr>
          <w:rFonts w:ascii="Calibri" w:eastAsia="Times New Roman" w:hAnsi="Calibri" w:cs="Calibri"/>
          <w:color w:val="000000"/>
          <w:sz w:val="22"/>
          <w:szCs w:val="22"/>
          <w:lang w:eastAsia="en-GB"/>
        </w:rPr>
        <w:t>The applicant is required to serve and file an application record and factum, along with proof of service, </w:t>
      </w:r>
      <w:r w:rsidRPr="00CE3DC5">
        <w:rPr>
          <w:rFonts w:ascii="Calibri" w:eastAsia="Times New Roman" w:hAnsi="Calibri" w:cs="Calibri"/>
          <w:b/>
          <w:bCs/>
          <w:color w:val="000000"/>
          <w:sz w:val="22"/>
          <w:szCs w:val="22"/>
          <w:u w:val="single"/>
          <w:shd w:val="clear" w:color="auto" w:fill="FFFF00"/>
          <w:lang w:eastAsia="en-GB"/>
        </w:rPr>
        <w:t>at least four days before the hearing of the application.</w:t>
      </w:r>
    </w:p>
    <w:p w14:paraId="6C672D05" w14:textId="0773F984" w:rsidR="00044310" w:rsidRPr="00CE3DC5" w:rsidRDefault="00044310" w:rsidP="00970065">
      <w:pPr>
        <w:spacing w:after="120"/>
        <w:rPr>
          <w:rFonts w:ascii="Calibri" w:eastAsia="Times New Roman" w:hAnsi="Calibri" w:cs="Calibri"/>
          <w:color w:val="000000"/>
          <w:sz w:val="22"/>
          <w:szCs w:val="22"/>
          <w:lang w:eastAsia="en-GB"/>
        </w:rPr>
      </w:pPr>
      <w:r w:rsidRPr="00CE3DC5">
        <w:rPr>
          <w:rFonts w:ascii="Calibri" w:eastAsia="Times New Roman" w:hAnsi="Calibri" w:cs="Calibri"/>
          <w:b/>
          <w:bCs/>
          <w:color w:val="000000"/>
          <w:sz w:val="22"/>
          <w:szCs w:val="22"/>
          <w:lang w:eastAsia="en-GB"/>
        </w:rPr>
        <w:t> </w:t>
      </w:r>
    </w:p>
    <w:p w14:paraId="4D36FA37" w14:textId="77777777" w:rsidR="00044310" w:rsidRPr="00CE3DC5" w:rsidRDefault="00044310" w:rsidP="00970065">
      <w:pPr>
        <w:spacing w:after="1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But t</w:t>
      </w:r>
      <w:r w:rsidRPr="00CE3DC5">
        <w:rPr>
          <w:rFonts w:ascii="Calibri" w:eastAsia="Times New Roman" w:hAnsi="Calibri" w:cs="Calibri"/>
          <w:color w:val="000000"/>
          <w:sz w:val="22"/>
          <w:szCs w:val="22"/>
          <w:lang w:eastAsia="en-GB"/>
        </w:rPr>
        <w:t>he </w:t>
      </w:r>
      <w:r w:rsidRPr="00CE3DC5">
        <w:rPr>
          <w:rFonts w:ascii="Calibri" w:eastAsia="Times New Roman" w:hAnsi="Calibri" w:cs="Calibri"/>
          <w:b/>
          <w:bCs/>
          <w:color w:val="000000"/>
          <w:sz w:val="22"/>
          <w:szCs w:val="22"/>
          <w:lang w:eastAsia="en-GB"/>
        </w:rPr>
        <w:t>RULES OF CIVIL PROCEDURE</w:t>
      </w:r>
      <w:r w:rsidRPr="00CE3DC5">
        <w:rPr>
          <w:rFonts w:ascii="Calibri" w:eastAsia="Times New Roman" w:hAnsi="Calibri" w:cs="Calibri"/>
          <w:color w:val="000000"/>
          <w:sz w:val="22"/>
          <w:szCs w:val="22"/>
          <w:lang w:eastAsia="en-GB"/>
        </w:rPr>
        <w:t> states under Rule 38.09 the following: </w:t>
      </w:r>
    </w:p>
    <w:p w14:paraId="5129DFC7" w14:textId="77777777" w:rsidR="00044310" w:rsidRDefault="00044310" w:rsidP="00970065">
      <w:pPr>
        <w:spacing w:after="120"/>
        <w:rPr>
          <w:rFonts w:ascii="Calibri" w:eastAsia="Times New Roman" w:hAnsi="Calibri" w:cs="Calibri"/>
          <w:color w:val="000000"/>
          <w:sz w:val="22"/>
          <w:szCs w:val="22"/>
          <w:lang w:eastAsia="en-GB"/>
        </w:rPr>
      </w:pPr>
      <w:r w:rsidRPr="00CE3DC5">
        <w:rPr>
          <w:rFonts w:ascii="Calibri" w:eastAsia="Times New Roman" w:hAnsi="Calibri" w:cs="Calibri"/>
          <w:color w:val="000000"/>
          <w:sz w:val="22"/>
          <w:szCs w:val="22"/>
          <w:lang w:eastAsia="en-GB"/>
        </w:rPr>
        <w:t> </w:t>
      </w:r>
    </w:p>
    <w:p w14:paraId="4E7AC04A" w14:textId="77777777" w:rsidR="00044310" w:rsidRPr="00CE3DC5" w:rsidRDefault="00044310" w:rsidP="00970065">
      <w:pPr>
        <w:spacing w:after="120"/>
        <w:ind w:left="720"/>
        <w:rPr>
          <w:rFonts w:ascii="Calibri" w:eastAsia="Times New Roman" w:hAnsi="Calibri" w:cs="Calibri"/>
          <w:color w:val="000000"/>
          <w:sz w:val="22"/>
          <w:szCs w:val="22"/>
          <w:lang w:eastAsia="en-GB"/>
        </w:rPr>
      </w:pPr>
      <w:r w:rsidRPr="00CE3DC5">
        <w:rPr>
          <w:rFonts w:ascii="Helvetica" w:eastAsia="Times New Roman" w:hAnsi="Helvetica" w:cs="Calibri"/>
          <w:b/>
          <w:bCs/>
          <w:color w:val="222222"/>
          <w:sz w:val="20"/>
          <w:szCs w:val="20"/>
          <w:lang w:eastAsia="en-GB"/>
        </w:rPr>
        <w:t>Material for Use on Application</w:t>
      </w:r>
    </w:p>
    <w:p w14:paraId="562FBF68" w14:textId="77777777" w:rsidR="00044310" w:rsidRPr="00CE3DC5" w:rsidRDefault="00044310" w:rsidP="00970065">
      <w:pPr>
        <w:shd w:val="clear" w:color="auto" w:fill="FFFFFF"/>
        <w:spacing w:after="120"/>
        <w:ind w:left="720"/>
        <w:rPr>
          <w:rFonts w:ascii="Calibri" w:eastAsia="Times New Roman" w:hAnsi="Calibri" w:cs="Calibri"/>
          <w:color w:val="000000"/>
          <w:sz w:val="22"/>
          <w:szCs w:val="22"/>
          <w:lang w:eastAsia="en-GB"/>
        </w:rPr>
      </w:pPr>
      <w:r w:rsidRPr="00CE3DC5">
        <w:rPr>
          <w:rFonts w:ascii="Helvetica" w:eastAsia="Times New Roman" w:hAnsi="Helvetica" w:cs="Calibri"/>
          <w:b/>
          <w:bCs/>
          <w:i/>
          <w:iCs/>
          <w:color w:val="222222"/>
          <w:sz w:val="20"/>
          <w:szCs w:val="20"/>
          <w:lang w:eastAsia="en-GB"/>
        </w:rPr>
        <w:t>Application Record and Factum</w:t>
      </w:r>
    </w:p>
    <w:p w14:paraId="00CEE189" w14:textId="77777777" w:rsidR="00044310" w:rsidRDefault="00044310" w:rsidP="00970065">
      <w:pPr>
        <w:shd w:val="clear" w:color="auto" w:fill="FFFFFF"/>
        <w:spacing w:after="120"/>
        <w:ind w:left="720"/>
        <w:rPr>
          <w:rFonts w:ascii="Arial" w:eastAsia="Times New Roman" w:hAnsi="Arial" w:cs="Arial"/>
          <w:b/>
          <w:bCs/>
          <w:color w:val="505050"/>
          <w:lang w:eastAsia="en-GB"/>
        </w:rPr>
      </w:pPr>
    </w:p>
    <w:p w14:paraId="1BAEF5B3" w14:textId="77777777" w:rsidR="00044310" w:rsidRPr="00CE3DC5" w:rsidRDefault="00044310" w:rsidP="00970065">
      <w:pPr>
        <w:shd w:val="clear" w:color="auto" w:fill="FFFFFF"/>
        <w:spacing w:after="120"/>
        <w:ind w:left="720"/>
        <w:rPr>
          <w:rFonts w:ascii="Calibri" w:eastAsia="Times New Roman" w:hAnsi="Calibri" w:cs="Calibri"/>
          <w:color w:val="000000"/>
          <w:sz w:val="22"/>
          <w:szCs w:val="22"/>
          <w:lang w:eastAsia="en-GB"/>
        </w:rPr>
      </w:pPr>
      <w:r w:rsidRPr="00CE3DC5">
        <w:rPr>
          <w:rFonts w:ascii="Arial" w:eastAsia="Times New Roman" w:hAnsi="Arial" w:cs="Arial"/>
          <w:b/>
          <w:bCs/>
          <w:color w:val="505050"/>
          <w:lang w:eastAsia="en-GB"/>
        </w:rPr>
        <w:t>38.09</w:t>
      </w:r>
      <w:r w:rsidRPr="00CE3DC5">
        <w:rPr>
          <w:rFonts w:ascii="Arial" w:eastAsia="Times New Roman" w:hAnsi="Arial" w:cs="Arial"/>
          <w:color w:val="505050"/>
          <w:lang w:eastAsia="en-GB"/>
        </w:rPr>
        <w:t> (1) The applicant shall,</w:t>
      </w:r>
    </w:p>
    <w:p w14:paraId="22149EF5" w14:textId="77777777" w:rsidR="00044310" w:rsidRPr="00CE3DC5" w:rsidRDefault="00044310" w:rsidP="00970065">
      <w:pPr>
        <w:shd w:val="clear" w:color="auto" w:fill="FFFFFF"/>
        <w:spacing w:after="120"/>
        <w:ind w:left="1440" w:hanging="360"/>
        <w:rPr>
          <w:rFonts w:ascii="Calibri" w:eastAsia="Times New Roman" w:hAnsi="Calibri" w:cs="Calibri"/>
          <w:color w:val="000000"/>
          <w:sz w:val="22"/>
          <w:szCs w:val="22"/>
          <w:lang w:eastAsia="en-GB"/>
        </w:rPr>
      </w:pPr>
      <w:r w:rsidRPr="00CE3DC5">
        <w:rPr>
          <w:rFonts w:ascii="Arial" w:eastAsia="Times New Roman" w:hAnsi="Arial" w:cs="Arial"/>
          <w:color w:val="505050"/>
          <w:lang w:eastAsia="en-GB"/>
        </w:rPr>
        <w:t>(a)  serve an application record, together with a factum consisting of a concise argument stating the facts and law relied on by the applicant, </w:t>
      </w:r>
      <w:r w:rsidRPr="00CE3DC5">
        <w:rPr>
          <w:rFonts w:ascii="Arial" w:eastAsia="Times New Roman" w:hAnsi="Arial" w:cs="Arial"/>
          <w:b/>
          <w:bCs/>
          <w:color w:val="505050"/>
          <w:u w:val="single"/>
          <w:shd w:val="clear" w:color="auto" w:fill="FFFF00"/>
          <w:lang w:eastAsia="en-GB"/>
        </w:rPr>
        <w:t>at least seven days before the hearing</w:t>
      </w:r>
      <w:r w:rsidRPr="00CE3DC5">
        <w:rPr>
          <w:rFonts w:ascii="Arial" w:eastAsia="Times New Roman" w:hAnsi="Arial" w:cs="Arial"/>
          <w:color w:val="505050"/>
          <w:lang w:eastAsia="en-GB"/>
        </w:rPr>
        <w:t xml:space="preserve">, on every respondent who has served a notice of </w:t>
      </w:r>
      <w:proofErr w:type="gramStart"/>
      <w:r w:rsidRPr="00CE3DC5">
        <w:rPr>
          <w:rFonts w:ascii="Arial" w:eastAsia="Times New Roman" w:hAnsi="Arial" w:cs="Arial"/>
          <w:color w:val="505050"/>
          <w:lang w:eastAsia="en-GB"/>
        </w:rPr>
        <w:t>appearance;</w:t>
      </w:r>
      <w:proofErr w:type="gramEnd"/>
      <w:r w:rsidRPr="00CE3DC5">
        <w:rPr>
          <w:rFonts w:ascii="Arial" w:eastAsia="Times New Roman" w:hAnsi="Arial" w:cs="Arial"/>
          <w:color w:val="505050"/>
          <w:lang w:eastAsia="en-GB"/>
        </w:rPr>
        <w:t xml:space="preserve"> and</w:t>
      </w:r>
    </w:p>
    <w:p w14:paraId="0C22F490" w14:textId="77777777" w:rsidR="00044310" w:rsidRPr="00CE3DC5" w:rsidRDefault="00044310" w:rsidP="00970065">
      <w:pPr>
        <w:shd w:val="clear" w:color="auto" w:fill="FFFFFF"/>
        <w:spacing w:after="120"/>
        <w:ind w:left="1440" w:hanging="360"/>
        <w:rPr>
          <w:rFonts w:ascii="Calibri" w:eastAsia="Times New Roman" w:hAnsi="Calibri" w:cs="Calibri"/>
          <w:color w:val="000000"/>
          <w:sz w:val="22"/>
          <w:szCs w:val="22"/>
          <w:lang w:eastAsia="en-GB"/>
        </w:rPr>
      </w:pPr>
      <w:r w:rsidRPr="00CE3DC5">
        <w:rPr>
          <w:rFonts w:ascii="Arial" w:eastAsia="Times New Roman" w:hAnsi="Arial" w:cs="Arial"/>
          <w:color w:val="505050"/>
          <w:lang w:eastAsia="en-GB"/>
        </w:rPr>
        <w:t>(b)  file the application record and factum, with proof of service, at least seven days before the hearing, in the court office where the application is to be heard.  </w:t>
      </w:r>
      <w:r w:rsidRPr="00CE3DC5">
        <w:rPr>
          <w:rFonts w:ascii="Arial" w:eastAsia="Times New Roman" w:hAnsi="Arial" w:cs="Arial"/>
          <w:color w:val="505050"/>
          <w:lang w:val="da-DK" w:eastAsia="en-GB"/>
        </w:rPr>
        <w:t xml:space="preserve">R.R.O. 1990, </w:t>
      </w:r>
      <w:proofErr w:type="spellStart"/>
      <w:r w:rsidRPr="00CE3DC5">
        <w:rPr>
          <w:rFonts w:ascii="Arial" w:eastAsia="Times New Roman" w:hAnsi="Arial" w:cs="Arial"/>
          <w:color w:val="505050"/>
          <w:lang w:val="da-DK" w:eastAsia="en-GB"/>
        </w:rPr>
        <w:t>Reg</w:t>
      </w:r>
      <w:proofErr w:type="spellEnd"/>
      <w:r w:rsidRPr="00CE3DC5">
        <w:rPr>
          <w:rFonts w:ascii="Arial" w:eastAsia="Times New Roman" w:hAnsi="Arial" w:cs="Arial"/>
          <w:color w:val="505050"/>
          <w:lang w:val="da-DK" w:eastAsia="en-GB"/>
        </w:rPr>
        <w:t>. 194, r. 38.09 (1); O. </w:t>
      </w:r>
      <w:proofErr w:type="spellStart"/>
      <w:r w:rsidRPr="00CE3DC5">
        <w:rPr>
          <w:rFonts w:ascii="Arial" w:eastAsia="Times New Roman" w:hAnsi="Arial" w:cs="Arial"/>
          <w:color w:val="505050"/>
          <w:lang w:val="da-DK" w:eastAsia="en-GB"/>
        </w:rPr>
        <w:t>Reg</w:t>
      </w:r>
      <w:proofErr w:type="spellEnd"/>
      <w:r w:rsidRPr="00CE3DC5">
        <w:rPr>
          <w:rFonts w:ascii="Arial" w:eastAsia="Times New Roman" w:hAnsi="Arial" w:cs="Arial"/>
          <w:color w:val="505050"/>
          <w:lang w:val="da-DK" w:eastAsia="en-GB"/>
        </w:rPr>
        <w:t>. 171/98, s. 17 (1); O. </w:t>
      </w:r>
      <w:proofErr w:type="spellStart"/>
      <w:r w:rsidRPr="00CE3DC5">
        <w:rPr>
          <w:rFonts w:ascii="Arial" w:eastAsia="Times New Roman" w:hAnsi="Arial" w:cs="Arial"/>
          <w:color w:val="505050"/>
          <w:lang w:val="da-DK" w:eastAsia="en-GB"/>
        </w:rPr>
        <w:t>Reg</w:t>
      </w:r>
      <w:proofErr w:type="spellEnd"/>
      <w:r w:rsidRPr="00CE3DC5">
        <w:rPr>
          <w:rFonts w:ascii="Arial" w:eastAsia="Times New Roman" w:hAnsi="Arial" w:cs="Arial"/>
          <w:color w:val="505050"/>
          <w:lang w:val="da-DK" w:eastAsia="en-GB"/>
        </w:rPr>
        <w:t>. 206/02, s. 9 (1); O. </w:t>
      </w:r>
      <w:proofErr w:type="spellStart"/>
      <w:r w:rsidRPr="00CE3DC5">
        <w:rPr>
          <w:rFonts w:ascii="Arial" w:eastAsia="Times New Roman" w:hAnsi="Arial" w:cs="Arial"/>
          <w:color w:val="505050"/>
          <w:lang w:val="da-DK" w:eastAsia="en-GB"/>
        </w:rPr>
        <w:t>Reg</w:t>
      </w:r>
      <w:proofErr w:type="spellEnd"/>
      <w:r w:rsidRPr="00CE3DC5">
        <w:rPr>
          <w:rFonts w:ascii="Arial" w:eastAsia="Times New Roman" w:hAnsi="Arial" w:cs="Arial"/>
          <w:color w:val="505050"/>
          <w:lang w:val="da-DK" w:eastAsia="en-GB"/>
        </w:rPr>
        <w:t>. 438/08, s. 40 (1, 2).</w:t>
      </w:r>
    </w:p>
    <w:p w14:paraId="639F4DE1" w14:textId="25A54D1F" w:rsidR="00A4232A" w:rsidRDefault="00DA1261" w:rsidP="00970065">
      <w:pPr>
        <w:spacing w:after="120"/>
      </w:pPr>
    </w:p>
    <w:p w14:paraId="518C6119" w14:textId="0737F7A0" w:rsidR="00044310" w:rsidRPr="00970065" w:rsidRDefault="00044310" w:rsidP="00970065">
      <w:pPr>
        <w:spacing w:after="120"/>
        <w:rPr>
          <w:rFonts w:ascii="Calibri" w:eastAsia="Times New Roman" w:hAnsi="Calibri" w:cs="Calibri"/>
          <w:color w:val="000000"/>
          <w:lang w:eastAsia="en-GB"/>
        </w:rPr>
      </w:pPr>
      <w:r>
        <w:rPr>
          <w:rFonts w:ascii="Calibri" w:eastAsia="Times New Roman" w:hAnsi="Calibri" w:cs="Calibri"/>
          <w:color w:val="333333"/>
          <w:lang w:eastAsia="en-GB"/>
        </w:rPr>
        <w:t>Please note that the</w:t>
      </w:r>
      <w:r w:rsidRPr="001A4638">
        <w:rPr>
          <w:rFonts w:ascii="Calibri" w:eastAsia="Times New Roman" w:hAnsi="Calibri" w:cs="Calibri"/>
          <w:color w:val="333333"/>
          <w:lang w:eastAsia="en-GB"/>
        </w:rPr>
        <w:t xml:space="preserve"> print books reprinted </w:t>
      </w:r>
      <w:r w:rsidRPr="003B0BCB">
        <w:rPr>
          <w:rFonts w:ascii="Calibri" w:eastAsia="Times New Roman" w:hAnsi="Calibri" w:cs="Calibri"/>
          <w:b/>
          <w:bCs/>
          <w:color w:val="333333"/>
          <w:lang w:eastAsia="en-GB"/>
        </w:rPr>
        <w:t>June 2023</w:t>
      </w:r>
      <w:r w:rsidRPr="001A4638">
        <w:rPr>
          <w:rFonts w:ascii="Calibri" w:eastAsia="Times New Roman" w:hAnsi="Calibri" w:cs="Calibri"/>
          <w:color w:val="333333"/>
          <w:lang w:eastAsia="en-GB"/>
        </w:rPr>
        <w:t xml:space="preserve"> </w:t>
      </w:r>
      <w:r>
        <w:rPr>
          <w:rFonts w:ascii="Calibri" w:eastAsia="Times New Roman" w:hAnsi="Calibri" w:cs="Calibri"/>
          <w:color w:val="333333"/>
          <w:lang w:eastAsia="en-GB"/>
        </w:rPr>
        <w:t>have the correction below implemented</w:t>
      </w:r>
      <w:r w:rsidRPr="001A4638">
        <w:rPr>
          <w:rFonts w:ascii="Calibri" w:eastAsia="Times New Roman" w:hAnsi="Calibri" w:cs="Calibri"/>
          <w:color w:val="333333"/>
          <w:lang w:eastAsia="en-GB"/>
        </w:rPr>
        <w:t>.</w:t>
      </w:r>
      <w:r>
        <w:rPr>
          <w:rFonts w:ascii="Calibri" w:eastAsia="Times New Roman" w:hAnsi="Calibri" w:cs="Calibri"/>
          <w:color w:val="333333"/>
          <w:lang w:eastAsia="en-GB"/>
        </w:rPr>
        <w:t xml:space="preserve"> </w:t>
      </w:r>
      <w:r w:rsidRPr="001A4638">
        <w:rPr>
          <w:rFonts w:ascii="Calibri" w:eastAsia="Times New Roman" w:hAnsi="Calibri" w:cs="Calibri"/>
          <w:color w:val="333333"/>
          <w:lang w:eastAsia="en-GB"/>
        </w:rPr>
        <w:t>To see if your book is a reprint, go to the copyright page and check for a note under the line “Printed in Canada.”</w:t>
      </w:r>
    </w:p>
    <w:p w14:paraId="485B00FF" w14:textId="45A39243" w:rsidR="00E85D63" w:rsidRDefault="00B25050" w:rsidP="00970065">
      <w:pPr>
        <w:spacing w:after="120"/>
        <w:rPr>
          <w:b/>
          <w:bCs/>
          <w:i/>
          <w:iCs/>
          <w:u w:val="single"/>
        </w:rPr>
      </w:pPr>
      <w:r w:rsidRPr="00044310">
        <w:rPr>
          <w:b/>
          <w:bCs/>
          <w:i/>
          <w:iCs/>
          <w:u w:val="single"/>
        </w:rPr>
        <w:lastRenderedPageBreak/>
        <w:t>August</w:t>
      </w:r>
      <w:r w:rsidR="00E85D63" w:rsidRPr="00044310">
        <w:rPr>
          <w:b/>
          <w:bCs/>
          <w:i/>
          <w:iCs/>
          <w:u w:val="single"/>
        </w:rPr>
        <w:t xml:space="preserve"> 2022</w:t>
      </w:r>
    </w:p>
    <w:p w14:paraId="2F2EF393" w14:textId="77777777" w:rsidR="00044310" w:rsidRPr="00044310" w:rsidRDefault="00044310" w:rsidP="00970065">
      <w:pPr>
        <w:spacing w:after="120"/>
        <w:rPr>
          <w:b/>
          <w:bCs/>
          <w:i/>
          <w:iCs/>
          <w:u w:val="single"/>
        </w:rPr>
      </w:pPr>
    </w:p>
    <w:p w14:paraId="1D65B19D" w14:textId="4019478C" w:rsidR="00E85D63" w:rsidRPr="00B25050" w:rsidRDefault="00B25050" w:rsidP="00970065">
      <w:pPr>
        <w:pStyle w:val="ListParagraph"/>
        <w:numPr>
          <w:ilvl w:val="0"/>
          <w:numId w:val="1"/>
        </w:numPr>
        <w:spacing w:after="120"/>
        <w:contextualSpacing w:val="0"/>
        <w:rPr>
          <w:rFonts w:eastAsia="Times New Roman" w:cstheme="minorHAnsi"/>
        </w:rPr>
      </w:pPr>
      <w:r>
        <w:rPr>
          <w:rFonts w:cstheme="minorHAnsi"/>
        </w:rPr>
        <w:t>Figure 19.2</w:t>
      </w:r>
      <w:r w:rsidR="00E85D63" w:rsidRPr="003F664F">
        <w:rPr>
          <w:rFonts w:cstheme="minorHAnsi"/>
        </w:rPr>
        <w:t xml:space="preserve">: </w:t>
      </w:r>
      <w:r>
        <w:rPr>
          <w:rFonts w:cstheme="minorHAnsi"/>
        </w:rPr>
        <w:t xml:space="preserve">On the line “Total Fees and Disbursements” the total of each column has been corrected. </w:t>
      </w:r>
    </w:p>
    <w:p w14:paraId="7E6D720F" w14:textId="03224721" w:rsidR="00B25050" w:rsidRPr="00B25050" w:rsidRDefault="00B25050" w:rsidP="00970065">
      <w:pPr>
        <w:pStyle w:val="NormalWeb"/>
        <w:numPr>
          <w:ilvl w:val="1"/>
          <w:numId w:val="1"/>
        </w:numPr>
        <w:shd w:val="clear" w:color="auto" w:fill="FFFFFF"/>
        <w:spacing w:before="0" w:beforeAutospacing="0" w:after="120" w:afterAutospacing="0"/>
        <w:textAlignment w:val="baseline"/>
        <w:rPr>
          <w:rFonts w:ascii="Calibri" w:hAnsi="Calibri" w:cs="Calibri"/>
          <w:color w:val="323130"/>
          <w:sz w:val="22"/>
          <w:szCs w:val="22"/>
        </w:rPr>
      </w:pPr>
      <w:r>
        <w:rPr>
          <w:rFonts w:ascii="Calibri" w:hAnsi="Calibri" w:cs="Calibri"/>
          <w:color w:val="323130"/>
          <w:sz w:val="22"/>
          <w:szCs w:val="22"/>
        </w:rPr>
        <w:t>The total for the Partial Indemnity column is</w:t>
      </w:r>
      <w:r>
        <w:rPr>
          <w:rFonts w:ascii="Calibri" w:hAnsi="Calibri" w:cs="Calibri"/>
          <w:b/>
          <w:bCs/>
          <w:color w:val="323130"/>
          <w:sz w:val="22"/>
          <w:szCs w:val="22"/>
        </w:rPr>
        <w:t> $4300.65</w:t>
      </w:r>
      <w:r>
        <w:rPr>
          <w:rFonts w:ascii="Calibri" w:hAnsi="Calibri" w:cs="Calibri"/>
          <w:color w:val="323130"/>
          <w:sz w:val="22"/>
          <w:szCs w:val="22"/>
        </w:rPr>
        <w:t> not $3965.34.</w:t>
      </w:r>
    </w:p>
    <w:p w14:paraId="515EC635" w14:textId="550F7F26" w:rsidR="00B25050" w:rsidRPr="00B25050" w:rsidRDefault="00B25050" w:rsidP="00970065">
      <w:pPr>
        <w:pStyle w:val="NormalWeb"/>
        <w:numPr>
          <w:ilvl w:val="1"/>
          <w:numId w:val="1"/>
        </w:numPr>
        <w:shd w:val="clear" w:color="auto" w:fill="FFFFFF"/>
        <w:spacing w:before="0" w:beforeAutospacing="0" w:after="120" w:afterAutospacing="0"/>
        <w:textAlignment w:val="baseline"/>
        <w:rPr>
          <w:rFonts w:ascii="Calibri" w:hAnsi="Calibri" w:cs="Calibri"/>
          <w:color w:val="323130"/>
          <w:sz w:val="22"/>
          <w:szCs w:val="22"/>
        </w:rPr>
      </w:pPr>
      <w:r>
        <w:rPr>
          <w:rFonts w:ascii="Calibri" w:hAnsi="Calibri" w:cs="Calibri"/>
          <w:color w:val="323130"/>
          <w:sz w:val="22"/>
          <w:szCs w:val="22"/>
        </w:rPr>
        <w:t>The total for the Substantial Indemnity column is</w:t>
      </w:r>
      <w:r>
        <w:rPr>
          <w:rFonts w:ascii="Calibri" w:hAnsi="Calibri" w:cs="Calibri"/>
          <w:b/>
          <w:bCs/>
          <w:color w:val="323130"/>
          <w:sz w:val="22"/>
          <w:szCs w:val="22"/>
        </w:rPr>
        <w:t> $6021.08 </w:t>
      </w:r>
      <w:r>
        <w:rPr>
          <w:rFonts w:ascii="Calibri" w:hAnsi="Calibri" w:cs="Calibri"/>
          <w:color w:val="323130"/>
          <w:sz w:val="22"/>
          <w:szCs w:val="22"/>
        </w:rPr>
        <w:t>not $5685.77.</w:t>
      </w:r>
    </w:p>
    <w:p w14:paraId="24DAAD6A" w14:textId="65682488" w:rsidR="00B25050" w:rsidRDefault="00B25050" w:rsidP="00970065">
      <w:pPr>
        <w:pStyle w:val="NormalWeb"/>
        <w:numPr>
          <w:ilvl w:val="1"/>
          <w:numId w:val="1"/>
        </w:numPr>
        <w:shd w:val="clear" w:color="auto" w:fill="FFFFFF"/>
        <w:spacing w:before="0" w:beforeAutospacing="0" w:after="120" w:afterAutospacing="0"/>
        <w:textAlignment w:val="baseline"/>
        <w:rPr>
          <w:rFonts w:ascii="Calibri" w:hAnsi="Calibri" w:cs="Calibri"/>
          <w:color w:val="323130"/>
          <w:sz w:val="22"/>
          <w:szCs w:val="22"/>
        </w:rPr>
      </w:pPr>
      <w:r>
        <w:rPr>
          <w:rFonts w:ascii="Calibri" w:hAnsi="Calibri" w:cs="Calibri"/>
          <w:color w:val="323130"/>
          <w:sz w:val="22"/>
          <w:szCs w:val="22"/>
        </w:rPr>
        <w:t>The total for the Actual column is</w:t>
      </w:r>
      <w:r>
        <w:rPr>
          <w:rFonts w:ascii="Calibri" w:hAnsi="Calibri" w:cs="Calibri"/>
          <w:b/>
          <w:bCs/>
          <w:color w:val="323130"/>
          <w:sz w:val="22"/>
          <w:szCs w:val="22"/>
        </w:rPr>
        <w:t> $6594.55 </w:t>
      </w:r>
      <w:r>
        <w:rPr>
          <w:rFonts w:ascii="Calibri" w:hAnsi="Calibri" w:cs="Calibri"/>
          <w:color w:val="323130"/>
          <w:sz w:val="22"/>
          <w:szCs w:val="22"/>
        </w:rPr>
        <w:t>not $6258.49.</w:t>
      </w:r>
    </w:p>
    <w:p w14:paraId="44A6EA9F" w14:textId="5283AA5B" w:rsidR="00970065" w:rsidRDefault="00970065" w:rsidP="00970065">
      <w:pPr>
        <w:pStyle w:val="NormalWeb"/>
        <w:shd w:val="clear" w:color="auto" w:fill="FFFFFF"/>
        <w:spacing w:before="0" w:beforeAutospacing="0" w:after="120" w:afterAutospacing="0"/>
        <w:textAlignment w:val="baseline"/>
        <w:rPr>
          <w:rFonts w:ascii="Calibri" w:hAnsi="Calibri" w:cs="Calibri"/>
          <w:color w:val="323130"/>
          <w:sz w:val="22"/>
          <w:szCs w:val="22"/>
        </w:rPr>
      </w:pPr>
    </w:p>
    <w:p w14:paraId="202B41AC" w14:textId="09CBCDA0" w:rsidR="00970065" w:rsidRDefault="00970065" w:rsidP="00970065">
      <w:pPr>
        <w:pStyle w:val="Heading1"/>
        <w:spacing w:before="0" w:after="120"/>
      </w:pPr>
      <w:r>
        <w:t>Updates</w:t>
      </w:r>
    </w:p>
    <w:p w14:paraId="1D000949" w14:textId="77777777" w:rsidR="00944D17" w:rsidRPr="00944D17" w:rsidRDefault="00944D17" w:rsidP="00944D17">
      <w:pPr>
        <w:pStyle w:val="Heading1"/>
      </w:pPr>
      <w:r w:rsidRPr="00944D17">
        <w:t>November 2022: Updates to Ontario’s Rules of Civil Procedure (O Reg 520/22).</w:t>
      </w:r>
    </w:p>
    <w:p w14:paraId="1A401942" w14:textId="77777777" w:rsidR="00970065" w:rsidRDefault="00970065" w:rsidP="00970065">
      <w:pPr>
        <w:pStyle w:val="wordsection1"/>
        <w:shd w:val="clear" w:color="auto" w:fill="FFFFFF"/>
        <w:spacing w:before="0" w:beforeAutospacing="0" w:after="120" w:afterAutospacing="0"/>
        <w:rPr>
          <w:rFonts w:ascii="Arial" w:hAnsi="Arial" w:cs="Arial"/>
          <w:b/>
          <w:bCs/>
          <w:color w:val="555555"/>
          <w:bdr w:val="none" w:sz="0" w:space="0" w:color="auto" w:frame="1"/>
        </w:rPr>
      </w:pPr>
    </w:p>
    <w:p w14:paraId="2815C2C8" w14:textId="77777777" w:rsidR="00970065" w:rsidRDefault="00970065" w:rsidP="00970065">
      <w:pPr>
        <w:pStyle w:val="Heading1"/>
        <w:spacing w:before="0" w:after="120"/>
      </w:pPr>
      <w:r>
        <w:t xml:space="preserve">Summary </w:t>
      </w:r>
    </w:p>
    <w:p w14:paraId="65DE4945" w14:textId="77777777" w:rsidR="00970065" w:rsidRDefault="00970065" w:rsidP="00970065">
      <w:pPr>
        <w:spacing w:after="120"/>
        <w:rPr>
          <w:b/>
          <w:bCs/>
        </w:rPr>
      </w:pPr>
      <w:r>
        <w:t xml:space="preserve">On November 15, 2022, O. Reg. </w:t>
      </w:r>
      <w:r w:rsidRPr="002A7909">
        <w:t>520/22</w:t>
      </w:r>
      <w:r>
        <w:t xml:space="preserve"> was filed, which amended the </w:t>
      </w:r>
      <w:r w:rsidRPr="002A7909">
        <w:rPr>
          <w:i/>
          <w:iCs/>
        </w:rPr>
        <w:t>Rules of Civil Procedure</w:t>
      </w:r>
      <w:r>
        <w:t xml:space="preserve">. The regulation is posted on e-Laws at </w:t>
      </w:r>
      <w:r w:rsidRPr="002A7909">
        <w:t>https://www.ontario.ca/laws/regulation/r22520</w:t>
      </w:r>
      <w:r>
        <w:t xml:space="preserve">. The amendments come into force </w:t>
      </w:r>
      <w:r>
        <w:rPr>
          <w:b/>
          <w:bCs/>
        </w:rPr>
        <w:t>January 30, 2023.</w:t>
      </w:r>
    </w:p>
    <w:p w14:paraId="1BADDB5F" w14:textId="77777777" w:rsidR="00970065" w:rsidRPr="00F730E9" w:rsidRDefault="00970065" w:rsidP="00970065">
      <w:pPr>
        <w:spacing w:after="120"/>
        <w:rPr>
          <w:b/>
          <w:bCs/>
        </w:rPr>
      </w:pPr>
      <w:r>
        <w:t>Essentially, the change</w:t>
      </w:r>
      <w:r w:rsidRPr="00F730E9">
        <w:t xml:space="preserve"> permits both lawyers and sheriffs to use an unsworn certificate of service rather than </w:t>
      </w:r>
      <w:proofErr w:type="gramStart"/>
      <w:r w:rsidRPr="00F730E9">
        <w:t>a sworn affidavit</w:t>
      </w:r>
      <w:proofErr w:type="gramEnd"/>
      <w:r>
        <w:t>.</w:t>
      </w:r>
    </w:p>
    <w:p w14:paraId="77C59649" w14:textId="77777777" w:rsidR="00970065" w:rsidRPr="00104CC2" w:rsidRDefault="00970065" w:rsidP="00970065">
      <w:pPr>
        <w:spacing w:after="120"/>
      </w:pPr>
      <w:r w:rsidRPr="00104CC2">
        <w:t>A summary of the regulation is available on Ontario</w:t>
      </w:r>
      <w:r>
        <w:t>’</w:t>
      </w:r>
      <w:r w:rsidRPr="00104CC2">
        <w:t>s Regula</w:t>
      </w:r>
      <w:r w:rsidRPr="00F730E9">
        <w:rPr>
          <w:rFonts w:ascii="Calibri" w:hAnsi="Calibri" w:cs="Calibri"/>
        </w:rPr>
        <w:t xml:space="preserve">tory Registry at: </w:t>
      </w:r>
      <w:hyperlink r:id="rId5" w:history="1">
        <w:r w:rsidRPr="00F730E9">
          <w:rPr>
            <w:rStyle w:val="Hyperlink"/>
            <w:rFonts w:ascii="Calibri" w:hAnsi="Calibri" w:cs="Calibri"/>
          </w:rPr>
          <w:t>22-MAG013</w:t>
        </w:r>
      </w:hyperlink>
      <w:r w:rsidRPr="00F730E9">
        <w:rPr>
          <w:rFonts w:ascii="Calibri" w:hAnsi="Calibri" w:cs="Calibri"/>
        </w:rPr>
        <w:t>.</w:t>
      </w:r>
      <w:r w:rsidRPr="00104CC2">
        <w:t xml:space="preserve"> </w:t>
      </w:r>
    </w:p>
    <w:p w14:paraId="7223795C" w14:textId="77777777" w:rsidR="00970065" w:rsidRPr="00B81606" w:rsidRDefault="00970065" w:rsidP="00970065">
      <w:pPr>
        <w:spacing w:after="120"/>
      </w:pPr>
    </w:p>
    <w:p w14:paraId="55F3AE97" w14:textId="77777777" w:rsidR="00970065" w:rsidRPr="007D6032" w:rsidRDefault="00970065" w:rsidP="00970065">
      <w:pPr>
        <w:pStyle w:val="Heading1"/>
        <w:spacing w:before="0" w:after="120"/>
      </w:pPr>
      <w:r>
        <w:t>In Detail</w:t>
      </w:r>
    </w:p>
    <w:p w14:paraId="7077B3C4" w14:textId="48B079B4" w:rsidR="00970065" w:rsidRPr="00993629" w:rsidRDefault="00970065" w:rsidP="00970065">
      <w:pPr>
        <w:shd w:val="clear" w:color="auto" w:fill="FFFFFF"/>
        <w:spacing w:after="120"/>
        <w:rPr>
          <w:rFonts w:eastAsia="Times New Roman" w:cstheme="minorHAnsi"/>
          <w:bdr w:val="none" w:sz="0" w:space="0" w:color="auto" w:frame="1"/>
          <w:lang w:eastAsia="en-CA"/>
        </w:rPr>
      </w:pPr>
      <w:r w:rsidRPr="00F730E9">
        <w:rPr>
          <w:rFonts w:eastAsia="Times New Roman" w:cstheme="minorHAnsi"/>
          <w:lang w:eastAsia="en-CA"/>
        </w:rPr>
        <w:t xml:space="preserve">There is an update to the </w:t>
      </w:r>
      <w:r w:rsidRPr="007D6032">
        <w:rPr>
          <w:rFonts w:eastAsia="Times New Roman" w:cstheme="minorHAnsi"/>
          <w:i/>
          <w:iCs/>
          <w:lang w:eastAsia="en-CA"/>
        </w:rPr>
        <w:t>Rules of Civil Procedure</w:t>
      </w:r>
      <w:r w:rsidRPr="00F730E9">
        <w:rPr>
          <w:rFonts w:eastAsia="Times New Roman" w:cstheme="minorHAnsi"/>
          <w:lang w:eastAsia="en-CA"/>
        </w:rPr>
        <w:t xml:space="preserve"> which, in effect, simplifies somewhat the procedure for proving service of </w:t>
      </w:r>
      <w:r w:rsidRPr="00F730E9">
        <w:rPr>
          <w:rFonts w:eastAsia="Times New Roman" w:cstheme="minorHAnsi"/>
          <w:bdr w:val="none" w:sz="0" w:space="0" w:color="auto" w:frame="1"/>
          <w:lang w:eastAsia="en-CA"/>
        </w:rPr>
        <w:t>documents, which affects the content</w:t>
      </w:r>
      <w:r>
        <w:rPr>
          <w:rFonts w:eastAsia="Times New Roman" w:cstheme="minorHAnsi"/>
          <w:bdr w:val="none" w:sz="0" w:space="0" w:color="auto" w:frame="1"/>
          <w:lang w:eastAsia="en-CA"/>
        </w:rPr>
        <w:t>s</w:t>
      </w:r>
      <w:r w:rsidRPr="00F730E9">
        <w:rPr>
          <w:rFonts w:eastAsia="Times New Roman" w:cstheme="minorHAnsi"/>
          <w:bdr w:val="none" w:sz="0" w:space="0" w:color="auto" w:frame="1"/>
          <w:lang w:eastAsia="en-CA"/>
        </w:rPr>
        <w:t xml:space="preserve"> of Chapter 8 of </w:t>
      </w:r>
      <w:r w:rsidRPr="00F730E9">
        <w:rPr>
          <w:rFonts w:eastAsia="Times New Roman" w:cstheme="minorHAnsi"/>
          <w:i/>
          <w:iCs/>
          <w:bdr w:val="none" w:sz="0" w:space="0" w:color="auto" w:frame="1"/>
          <w:lang w:eastAsia="en-CA"/>
        </w:rPr>
        <w:t xml:space="preserve">Civil Litigation, </w:t>
      </w:r>
      <w:r w:rsidRPr="00F730E9">
        <w:rPr>
          <w:rFonts w:eastAsia="Times New Roman" w:cstheme="minorHAnsi"/>
          <w:bdr w:val="none" w:sz="0" w:space="0" w:color="auto" w:frame="1"/>
          <w:lang w:eastAsia="en-CA"/>
        </w:rPr>
        <w:t>particularly pp 187-200 of the revised 4th edition.</w:t>
      </w:r>
    </w:p>
    <w:p w14:paraId="7ADDA22C" w14:textId="7BCED439" w:rsidR="00970065" w:rsidRPr="00993629" w:rsidRDefault="00970065" w:rsidP="00970065">
      <w:pPr>
        <w:shd w:val="clear" w:color="auto" w:fill="FFFFFF"/>
        <w:spacing w:after="120"/>
        <w:rPr>
          <w:rFonts w:eastAsia="Times New Roman" w:cstheme="minorHAnsi"/>
          <w:bdr w:val="none" w:sz="0" w:space="0" w:color="auto" w:frame="1"/>
          <w:lang w:eastAsia="en-CA"/>
        </w:rPr>
      </w:pPr>
      <w:r w:rsidRPr="00F730E9">
        <w:rPr>
          <w:rFonts w:eastAsia="Times New Roman" w:cstheme="minorHAnsi"/>
          <w:bdr w:val="none" w:sz="0" w:space="0" w:color="auto" w:frame="1"/>
          <w:lang w:eastAsia="en-CA"/>
        </w:rPr>
        <w:t xml:space="preserve">Basically, it permits both lawyers and sheriffs to use an unsworn certificate of service rather than </w:t>
      </w:r>
      <w:proofErr w:type="gramStart"/>
      <w:r w:rsidRPr="00F730E9">
        <w:rPr>
          <w:rFonts w:eastAsia="Times New Roman" w:cstheme="minorHAnsi"/>
          <w:bdr w:val="none" w:sz="0" w:space="0" w:color="auto" w:frame="1"/>
          <w:lang w:eastAsia="en-CA"/>
        </w:rPr>
        <w:t>a sworn affidavit</w:t>
      </w:r>
      <w:proofErr w:type="gramEnd"/>
      <w:r w:rsidRPr="00F730E9">
        <w:rPr>
          <w:rFonts w:eastAsia="Times New Roman" w:cstheme="minorHAnsi"/>
          <w:bdr w:val="none" w:sz="0" w:space="0" w:color="auto" w:frame="1"/>
          <w:lang w:eastAsia="en-CA"/>
        </w:rPr>
        <w:t>. The new forms are quite detailed in terms of the information provided by the lawyer or a sheriff, particularly with information about what was served, the type of proceeding, and the mode of service. The lawyer</w:t>
      </w:r>
      <w:r>
        <w:rPr>
          <w:rFonts w:eastAsia="Times New Roman" w:cstheme="minorHAnsi"/>
          <w:bdr w:val="none" w:sz="0" w:space="0" w:color="auto" w:frame="1"/>
          <w:lang w:eastAsia="en-CA"/>
        </w:rPr>
        <w:t>’</w:t>
      </w:r>
      <w:r w:rsidRPr="00F730E9">
        <w:rPr>
          <w:rFonts w:eastAsia="Times New Roman" w:cstheme="minorHAnsi"/>
          <w:bdr w:val="none" w:sz="0" w:space="0" w:color="auto" w:frame="1"/>
          <w:lang w:eastAsia="en-CA"/>
        </w:rPr>
        <w:t xml:space="preserve">s certificate of service also allows a lawyer to either serve a document or direct another person to serve a document, which eliminates the need to have affidavits of service from the person </w:t>
      </w:r>
      <w:proofErr w:type="gramStart"/>
      <w:r w:rsidRPr="00F730E9">
        <w:rPr>
          <w:rFonts w:eastAsia="Times New Roman" w:cstheme="minorHAnsi"/>
          <w:bdr w:val="none" w:sz="0" w:space="0" w:color="auto" w:frame="1"/>
          <w:lang w:eastAsia="en-CA"/>
        </w:rPr>
        <w:t>actually carrying</w:t>
      </w:r>
      <w:proofErr w:type="gramEnd"/>
      <w:r w:rsidRPr="00F730E9">
        <w:rPr>
          <w:rFonts w:eastAsia="Times New Roman" w:cstheme="minorHAnsi"/>
          <w:bdr w:val="none" w:sz="0" w:space="0" w:color="auto" w:frame="1"/>
          <w:lang w:eastAsia="en-CA"/>
        </w:rPr>
        <w:t xml:space="preserve"> out service on behalf of or at the direction of the lawyer. It may also simplify proof of service in the expanding area of online procedures including on-line service of documents.  For a sole practitioner this is very useful, as one does not need a second person to commission this document, as would be the case for an affidavit, which must also be signed by a commissioner.</w:t>
      </w:r>
    </w:p>
    <w:p w14:paraId="4E5264C7" w14:textId="63E24DC8" w:rsidR="00970065" w:rsidRDefault="00970065" w:rsidP="00970065">
      <w:pPr>
        <w:shd w:val="clear" w:color="auto" w:fill="FFFFFF"/>
        <w:spacing w:after="120"/>
        <w:rPr>
          <w:rStyle w:val="Hyperlink"/>
          <w:rFonts w:eastAsia="Times New Roman" w:cstheme="minorHAnsi"/>
          <w:bdr w:val="none" w:sz="0" w:space="0" w:color="auto" w:frame="1"/>
          <w:lang w:eastAsia="en-CA"/>
        </w:rPr>
      </w:pPr>
      <w:r w:rsidRPr="00F730E9">
        <w:rPr>
          <w:rFonts w:eastAsia="Times New Roman" w:cstheme="minorHAnsi"/>
          <w:bdr w:val="none" w:sz="0" w:space="0" w:color="auto" w:frame="1"/>
          <w:lang w:eastAsia="en-CA"/>
        </w:rPr>
        <w:lastRenderedPageBreak/>
        <w:t>The new unsworn lawyer</w:t>
      </w:r>
      <w:r>
        <w:rPr>
          <w:rFonts w:eastAsia="Times New Roman" w:cstheme="minorHAnsi"/>
          <w:bdr w:val="none" w:sz="0" w:space="0" w:color="auto" w:frame="1"/>
          <w:lang w:eastAsia="en-CA"/>
        </w:rPr>
        <w:t>’</w:t>
      </w:r>
      <w:r w:rsidRPr="00F730E9">
        <w:rPr>
          <w:rFonts w:eastAsia="Times New Roman" w:cstheme="minorHAnsi"/>
          <w:bdr w:val="none" w:sz="0" w:space="0" w:color="auto" w:frame="1"/>
          <w:lang w:eastAsia="en-CA"/>
        </w:rPr>
        <w:t>s certificate of service is Form 16B.1 for general court use, and Form 74B1 for probate applications.</w:t>
      </w:r>
      <w:r>
        <w:rPr>
          <w:rFonts w:eastAsia="Times New Roman" w:cstheme="minorHAnsi"/>
          <w:bdr w:val="none" w:sz="0" w:space="0" w:color="auto" w:frame="1"/>
          <w:lang w:eastAsia="en-CA"/>
        </w:rPr>
        <w:t xml:space="preserve"> The new forms are available at:</w:t>
      </w:r>
      <w:r w:rsidRPr="007D6032">
        <w:t xml:space="preserve"> </w:t>
      </w:r>
      <w:hyperlink r:id="rId6" w:history="1">
        <w:r w:rsidRPr="009039E5">
          <w:rPr>
            <w:rStyle w:val="Hyperlink"/>
            <w:rFonts w:eastAsia="Times New Roman" w:cstheme="minorHAnsi"/>
            <w:bdr w:val="none" w:sz="0" w:space="0" w:color="auto" w:frame="1"/>
            <w:lang w:eastAsia="en-CA"/>
          </w:rPr>
          <w:t>http://ontariocourtforms.on.ca/en/rules-of-civil-procedure-forms/</w:t>
        </w:r>
      </w:hyperlink>
    </w:p>
    <w:p w14:paraId="3B96A16F" w14:textId="0A6F1E19" w:rsidR="00970065" w:rsidRPr="00993629" w:rsidRDefault="00970065" w:rsidP="00970065">
      <w:pPr>
        <w:shd w:val="clear" w:color="auto" w:fill="FFFFFF"/>
        <w:spacing w:after="120"/>
        <w:rPr>
          <w:rFonts w:eastAsia="Times New Roman" w:cstheme="minorHAnsi"/>
          <w:b/>
          <w:bCs/>
          <w:bdr w:val="none" w:sz="0" w:space="0" w:color="auto" w:frame="1"/>
          <w:lang w:eastAsia="en-CA"/>
        </w:rPr>
      </w:pPr>
      <w:r w:rsidRPr="00086C74">
        <w:rPr>
          <w:rStyle w:val="Hyperlink"/>
          <w:rFonts w:eastAsia="Times New Roman" w:cstheme="minorHAnsi"/>
          <w:b/>
          <w:bCs/>
          <w:bdr w:val="none" w:sz="0" w:space="0" w:color="auto" w:frame="1"/>
          <w:lang w:eastAsia="en-CA"/>
        </w:rPr>
        <w:t>A</w:t>
      </w:r>
      <w:r>
        <w:rPr>
          <w:rStyle w:val="Hyperlink"/>
          <w:rFonts w:eastAsia="Times New Roman" w:cstheme="minorHAnsi"/>
          <w:b/>
          <w:bCs/>
          <w:bdr w:val="none" w:sz="0" w:space="0" w:color="auto" w:frame="1"/>
          <w:lang w:eastAsia="en-CA"/>
        </w:rPr>
        <w:t xml:space="preserve"> sample filled-out Form 16B.1 has been provided on the instructor page.</w:t>
      </w:r>
    </w:p>
    <w:p w14:paraId="6F0E1790" w14:textId="05F45BB7" w:rsidR="00970065" w:rsidRPr="00993629" w:rsidRDefault="00970065" w:rsidP="00970065">
      <w:pPr>
        <w:shd w:val="clear" w:color="auto" w:fill="FFFFFF"/>
        <w:spacing w:after="120"/>
        <w:rPr>
          <w:rFonts w:eastAsia="Times New Roman" w:cstheme="minorHAnsi"/>
          <w:bdr w:val="none" w:sz="0" w:space="0" w:color="auto" w:frame="1"/>
          <w:lang w:eastAsia="en-CA"/>
        </w:rPr>
      </w:pPr>
      <w:r w:rsidRPr="00F730E9">
        <w:rPr>
          <w:rFonts w:eastAsia="Times New Roman" w:cstheme="minorHAnsi"/>
          <w:bdr w:val="none" w:sz="0" w:space="0" w:color="auto" w:frame="1"/>
          <w:lang w:eastAsia="en-CA"/>
        </w:rPr>
        <w:t>The use of a certificate of service as well as the e</w:t>
      </w:r>
      <w:r>
        <w:rPr>
          <w:rFonts w:eastAsia="Times New Roman" w:cstheme="minorHAnsi"/>
          <w:bdr w:val="none" w:sz="0" w:space="0" w:color="auto" w:frame="1"/>
          <w:lang w:eastAsia="en-CA"/>
        </w:rPr>
        <w:t>-</w:t>
      </w:r>
      <w:r w:rsidRPr="00F730E9">
        <w:rPr>
          <w:rFonts w:eastAsia="Times New Roman" w:cstheme="minorHAnsi"/>
          <w:bdr w:val="none" w:sz="0" w:space="0" w:color="auto" w:frame="1"/>
          <w:lang w:eastAsia="en-CA"/>
        </w:rPr>
        <w:t>filing of certain documents is an exception to the general rule that self</w:t>
      </w:r>
      <w:r>
        <w:rPr>
          <w:rFonts w:eastAsia="Times New Roman" w:cstheme="minorHAnsi"/>
          <w:bdr w:val="none" w:sz="0" w:space="0" w:color="auto" w:frame="1"/>
          <w:lang w:eastAsia="en-CA"/>
        </w:rPr>
        <w:t>-</w:t>
      </w:r>
      <w:r w:rsidRPr="00F730E9">
        <w:rPr>
          <w:rFonts w:eastAsia="Times New Roman" w:cstheme="minorHAnsi"/>
          <w:bdr w:val="none" w:sz="0" w:space="0" w:color="auto" w:frame="1"/>
          <w:lang w:eastAsia="en-CA"/>
        </w:rPr>
        <w:t>represented litigants may take any procedural step assigned to lawyers under the rules.</w:t>
      </w:r>
    </w:p>
    <w:p w14:paraId="5660BE90" w14:textId="025EB28C" w:rsidR="00970065" w:rsidRPr="00993629" w:rsidRDefault="00970065" w:rsidP="00970065">
      <w:pPr>
        <w:shd w:val="clear" w:color="auto" w:fill="FFFFFF"/>
        <w:spacing w:after="120"/>
        <w:rPr>
          <w:rFonts w:eastAsia="Times New Roman" w:cstheme="minorHAnsi"/>
          <w:bdr w:val="none" w:sz="0" w:space="0" w:color="auto" w:frame="1"/>
          <w:lang w:eastAsia="en-CA"/>
        </w:rPr>
      </w:pPr>
      <w:r w:rsidRPr="00F730E9">
        <w:rPr>
          <w:rFonts w:eastAsia="Times New Roman" w:cstheme="minorHAnsi"/>
          <w:bdr w:val="none" w:sz="0" w:space="0" w:color="auto" w:frame="1"/>
          <w:lang w:eastAsia="en-CA"/>
        </w:rPr>
        <w:t>The sheriff</w:t>
      </w:r>
      <w:r>
        <w:rPr>
          <w:rFonts w:eastAsia="Times New Roman" w:cstheme="minorHAnsi"/>
          <w:bdr w:val="none" w:sz="0" w:space="0" w:color="auto" w:frame="1"/>
          <w:lang w:eastAsia="en-CA"/>
        </w:rPr>
        <w:t>’</w:t>
      </w:r>
      <w:r w:rsidRPr="00F730E9">
        <w:rPr>
          <w:rFonts w:eastAsia="Times New Roman" w:cstheme="minorHAnsi"/>
          <w:bdr w:val="none" w:sz="0" w:space="0" w:color="auto" w:frame="1"/>
          <w:lang w:eastAsia="en-CA"/>
        </w:rPr>
        <w:t xml:space="preserve">s certificate is used by the sheriff </w:t>
      </w:r>
      <w:proofErr w:type="gramStart"/>
      <w:r w:rsidRPr="00F730E9">
        <w:rPr>
          <w:rFonts w:eastAsia="Times New Roman" w:cstheme="minorHAnsi"/>
          <w:bdr w:val="none" w:sz="0" w:space="0" w:color="auto" w:frame="1"/>
          <w:lang w:eastAsia="en-CA"/>
        </w:rPr>
        <w:t>actually serving</w:t>
      </w:r>
      <w:proofErr w:type="gramEnd"/>
      <w:r w:rsidRPr="00F730E9">
        <w:rPr>
          <w:rFonts w:eastAsia="Times New Roman" w:cstheme="minorHAnsi"/>
          <w:bdr w:val="none" w:sz="0" w:space="0" w:color="auto" w:frame="1"/>
          <w:lang w:eastAsia="en-CA"/>
        </w:rPr>
        <w:t xml:space="preserve"> the document, and there is no provision for the sheriff to use the document if directing someone else to serve a document. But as with a lawyer, the sheriff does not need a second person to commission the certificate as would be the case for an affidavit of service.</w:t>
      </w:r>
    </w:p>
    <w:p w14:paraId="17373EE6" w14:textId="02D6B808" w:rsidR="00970065" w:rsidRPr="00993629" w:rsidRDefault="00970065" w:rsidP="00970065">
      <w:pPr>
        <w:shd w:val="clear" w:color="auto" w:fill="FFFFFF"/>
        <w:spacing w:after="120"/>
        <w:rPr>
          <w:rFonts w:eastAsia="Times New Roman" w:cstheme="minorHAnsi"/>
          <w:bdr w:val="none" w:sz="0" w:space="0" w:color="auto" w:frame="1"/>
          <w:lang w:eastAsia="en-CA"/>
        </w:rPr>
      </w:pPr>
      <w:r w:rsidRPr="00F730E9">
        <w:rPr>
          <w:rFonts w:eastAsia="Times New Roman" w:cstheme="minorHAnsi"/>
          <w:bdr w:val="none" w:sz="0" w:space="0" w:color="auto" w:frame="1"/>
          <w:lang w:eastAsia="en-CA"/>
        </w:rPr>
        <w:t>The lawyer</w:t>
      </w:r>
      <w:r>
        <w:rPr>
          <w:rFonts w:eastAsia="Times New Roman" w:cstheme="minorHAnsi"/>
          <w:bdr w:val="none" w:sz="0" w:space="0" w:color="auto" w:frame="1"/>
          <w:lang w:eastAsia="en-CA"/>
        </w:rPr>
        <w:t>’</w:t>
      </w:r>
      <w:r w:rsidRPr="00F730E9">
        <w:rPr>
          <w:rFonts w:eastAsia="Times New Roman" w:cstheme="minorHAnsi"/>
          <w:bdr w:val="none" w:sz="0" w:space="0" w:color="auto" w:frame="1"/>
          <w:lang w:eastAsia="en-CA"/>
        </w:rPr>
        <w:t xml:space="preserve">s certificate of service is governed under Rule 16.09(1.1); </w:t>
      </w:r>
      <w:r>
        <w:rPr>
          <w:rFonts w:eastAsia="Times New Roman" w:cstheme="minorHAnsi"/>
          <w:bdr w:val="none" w:sz="0" w:space="0" w:color="auto" w:frame="1"/>
          <w:lang w:eastAsia="en-CA"/>
        </w:rPr>
        <w:t>t</w:t>
      </w:r>
      <w:r w:rsidRPr="00F730E9">
        <w:rPr>
          <w:rFonts w:eastAsia="Times New Roman" w:cstheme="minorHAnsi"/>
          <w:bdr w:val="none" w:sz="0" w:space="0" w:color="auto" w:frame="1"/>
          <w:lang w:eastAsia="en-CA"/>
        </w:rPr>
        <w:t>he sheriff</w:t>
      </w:r>
      <w:r>
        <w:rPr>
          <w:rFonts w:eastAsia="Times New Roman" w:cstheme="minorHAnsi"/>
          <w:bdr w:val="none" w:sz="0" w:space="0" w:color="auto" w:frame="1"/>
          <w:lang w:eastAsia="en-CA"/>
        </w:rPr>
        <w:t>’</w:t>
      </w:r>
      <w:r w:rsidRPr="00F730E9">
        <w:rPr>
          <w:rFonts w:eastAsia="Times New Roman" w:cstheme="minorHAnsi"/>
          <w:bdr w:val="none" w:sz="0" w:space="0" w:color="auto" w:frame="1"/>
          <w:lang w:eastAsia="en-CA"/>
        </w:rPr>
        <w:t>s certificate is governed under a revised version of Rule 16.09(3).</w:t>
      </w:r>
    </w:p>
    <w:p w14:paraId="3D74B0CE" w14:textId="77777777" w:rsidR="00970065" w:rsidRPr="00F730E9" w:rsidRDefault="00970065" w:rsidP="00970065">
      <w:pPr>
        <w:shd w:val="clear" w:color="auto" w:fill="FFFFFF"/>
        <w:spacing w:after="120"/>
        <w:rPr>
          <w:rFonts w:eastAsia="Times New Roman" w:cstheme="minorHAnsi"/>
          <w:bdr w:val="none" w:sz="0" w:space="0" w:color="auto" w:frame="1"/>
          <w:lang w:eastAsia="en-CA"/>
        </w:rPr>
      </w:pPr>
      <w:r w:rsidRPr="00F730E9">
        <w:rPr>
          <w:rFonts w:eastAsia="Times New Roman" w:cstheme="minorHAnsi"/>
          <w:bdr w:val="none" w:sz="0" w:space="0" w:color="auto" w:frame="1"/>
          <w:lang w:eastAsia="en-CA"/>
        </w:rPr>
        <w:t>References in court forms to affidavits of service in probate application has resulted in revised versions for probate/ estate forms:74.44, 74.49.2, 74.49.3, 74.50, 74.51, and 75.8.</w:t>
      </w:r>
    </w:p>
    <w:p w14:paraId="357507F6" w14:textId="40AFB1F7" w:rsidR="00970065" w:rsidRDefault="00970065" w:rsidP="00970065">
      <w:pPr>
        <w:spacing w:after="120"/>
      </w:pPr>
    </w:p>
    <w:p w14:paraId="034F7963" w14:textId="1E1FE1A2" w:rsidR="00970065" w:rsidRDefault="00970065" w:rsidP="00970065">
      <w:pPr>
        <w:pStyle w:val="wordsection1"/>
        <w:shd w:val="clear" w:color="auto" w:fill="FFFFFF"/>
        <w:spacing w:before="0" w:beforeAutospacing="0" w:after="120" w:afterAutospacing="0"/>
        <w:rPr>
          <w:rFonts w:ascii="Arial" w:hAnsi="Arial" w:cs="Arial"/>
          <w:b/>
          <w:bCs/>
          <w:color w:val="555555"/>
          <w:bdr w:val="none" w:sz="0" w:space="0" w:color="auto" w:frame="1"/>
        </w:rPr>
      </w:pPr>
    </w:p>
    <w:p w14:paraId="4A81377F" w14:textId="77777777" w:rsidR="00944D17" w:rsidRPr="00944D17" w:rsidRDefault="00944D17" w:rsidP="00944D17">
      <w:pPr>
        <w:pStyle w:val="Heading1"/>
      </w:pPr>
      <w:r w:rsidRPr="00944D17">
        <w:t>April 2022: Updates to Ontario's Rules of Civil Procedure (O Reg 224/22).</w:t>
      </w:r>
    </w:p>
    <w:p w14:paraId="4739BCED" w14:textId="77777777" w:rsidR="00970065" w:rsidRDefault="00970065" w:rsidP="00970065">
      <w:pPr>
        <w:pStyle w:val="wordsection1"/>
        <w:shd w:val="clear" w:color="auto" w:fill="FFFFFF"/>
        <w:spacing w:before="0" w:beforeAutospacing="0" w:after="120" w:afterAutospacing="0"/>
        <w:rPr>
          <w:rFonts w:ascii="Arial" w:hAnsi="Arial" w:cs="Arial"/>
          <w:b/>
          <w:bCs/>
          <w:color w:val="555555"/>
          <w:bdr w:val="none" w:sz="0" w:space="0" w:color="auto" w:frame="1"/>
        </w:rPr>
      </w:pPr>
    </w:p>
    <w:p w14:paraId="0D11A572" w14:textId="77777777" w:rsidR="00970065" w:rsidRDefault="00970065" w:rsidP="00970065">
      <w:pPr>
        <w:pStyle w:val="Heading1"/>
        <w:spacing w:before="0" w:after="120"/>
      </w:pPr>
      <w:r>
        <w:t>Background</w:t>
      </w:r>
    </w:p>
    <w:p w14:paraId="7904B59E" w14:textId="77777777" w:rsidR="00970065" w:rsidRDefault="00970065" w:rsidP="00970065">
      <w:pPr>
        <w:spacing w:after="120"/>
      </w:pPr>
      <w:r>
        <w:t xml:space="preserve">On March 23, 2022, O. Reg. 224/22 was filed, which amended the Rules of Civil Procedure. The regulation is posted on e-Laws at https://www.ontario.ca/laws/regulation/r22224. The amendments come into force </w:t>
      </w:r>
      <w:r w:rsidRPr="00651F13">
        <w:rPr>
          <w:b/>
          <w:bCs/>
        </w:rPr>
        <w:t>April 23, 2022</w:t>
      </w:r>
      <w:r>
        <w:rPr>
          <w:b/>
          <w:bCs/>
        </w:rPr>
        <w:t>.</w:t>
      </w:r>
    </w:p>
    <w:p w14:paraId="44B858DF" w14:textId="77777777" w:rsidR="00970065" w:rsidRDefault="00970065" w:rsidP="00970065">
      <w:pPr>
        <w:spacing w:after="120"/>
        <w:rPr>
          <w:rFonts w:ascii="Arial" w:hAnsi="Arial" w:cs="Arial"/>
          <w:color w:val="555555"/>
          <w:bdr w:val="none" w:sz="0" w:space="0" w:color="auto" w:frame="1"/>
        </w:rPr>
      </w:pPr>
      <w:r>
        <w:t xml:space="preserve">The regulation addresses the rules regarding the deadlines for parties to submit their confirmation of motion and confirmation of application forms (Forms 37B and 38B), as well as the deadline to upload materials to </w:t>
      </w:r>
      <w:proofErr w:type="spellStart"/>
      <w:r>
        <w:t>CaseLines</w:t>
      </w:r>
      <w:proofErr w:type="spellEnd"/>
      <w:r>
        <w:t>.</w:t>
      </w:r>
      <w:r w:rsidRPr="00104CC2">
        <w:rPr>
          <w:rFonts w:ascii="Arial" w:hAnsi="Arial" w:cs="Arial"/>
          <w:color w:val="555555"/>
          <w:bdr w:val="none" w:sz="0" w:space="0" w:color="auto" w:frame="1"/>
        </w:rPr>
        <w:t xml:space="preserve"> </w:t>
      </w:r>
    </w:p>
    <w:p w14:paraId="6F364132" w14:textId="77777777" w:rsidR="00970065" w:rsidRPr="00104CC2" w:rsidRDefault="00970065" w:rsidP="00970065">
      <w:pPr>
        <w:spacing w:after="120"/>
      </w:pPr>
      <w:r w:rsidRPr="00104CC2">
        <w:t xml:space="preserve">A summary of the regulation is available on Ontario’s Regulatory Registry at: </w:t>
      </w:r>
      <w:hyperlink r:id="rId7" w:tgtFrame="_blank" w:history="1">
        <w:r w:rsidRPr="00104CC2">
          <w:rPr>
            <w:rStyle w:val="Hyperlink"/>
          </w:rPr>
          <w:t>22-MAG004 </w:t>
        </w:r>
      </w:hyperlink>
    </w:p>
    <w:p w14:paraId="0F70015F" w14:textId="77777777" w:rsidR="00970065" w:rsidRPr="00B81606" w:rsidRDefault="00970065" w:rsidP="00970065">
      <w:pPr>
        <w:spacing w:after="120"/>
      </w:pPr>
    </w:p>
    <w:p w14:paraId="56F143B2" w14:textId="77777777" w:rsidR="00970065" w:rsidRPr="000863AA" w:rsidRDefault="00970065" w:rsidP="00970065">
      <w:pPr>
        <w:pStyle w:val="Heading1"/>
        <w:spacing w:before="0" w:after="120"/>
      </w:pPr>
      <w:r>
        <w:t>Amendments to Text</w:t>
      </w:r>
    </w:p>
    <w:p w14:paraId="36C87E14" w14:textId="1DBE913E" w:rsidR="00970065" w:rsidRPr="00993629" w:rsidRDefault="00970065" w:rsidP="00970065">
      <w:pPr>
        <w:pStyle w:val="wordsection1"/>
        <w:shd w:val="clear" w:color="auto" w:fill="FFFFFF"/>
        <w:spacing w:before="0" w:beforeAutospacing="0" w:after="120" w:afterAutospacing="0"/>
        <w:rPr>
          <w:rFonts w:ascii="Arial" w:hAnsi="Arial" w:cs="Arial"/>
          <w:b/>
          <w:bCs/>
          <w:bdr w:val="none" w:sz="0" w:space="0" w:color="auto" w:frame="1"/>
        </w:rPr>
      </w:pPr>
      <w:r>
        <w:rPr>
          <w:rFonts w:ascii="Arial" w:hAnsi="Arial" w:cs="Arial"/>
          <w:b/>
          <w:bCs/>
          <w:bdr w:val="none" w:sz="0" w:space="0" w:color="auto" w:frame="1"/>
        </w:rPr>
        <w:t>C</w:t>
      </w:r>
      <w:r w:rsidRPr="004A3413">
        <w:rPr>
          <w:rFonts w:ascii="Arial" w:hAnsi="Arial" w:cs="Arial"/>
          <w:b/>
          <w:bCs/>
          <w:bdr w:val="none" w:sz="0" w:space="0" w:color="auto" w:frame="1"/>
        </w:rPr>
        <w:t>h 6</w:t>
      </w:r>
      <w:r>
        <w:rPr>
          <w:rFonts w:ascii="Arial" w:hAnsi="Arial" w:cs="Arial"/>
          <w:b/>
          <w:bCs/>
          <w:bdr w:val="none" w:sz="0" w:space="0" w:color="auto" w:frame="1"/>
        </w:rPr>
        <w:t>,</w:t>
      </w:r>
      <w:r w:rsidRPr="004A3413">
        <w:rPr>
          <w:rFonts w:ascii="Arial" w:hAnsi="Arial" w:cs="Arial"/>
          <w:b/>
          <w:bCs/>
          <w:bdr w:val="none" w:sz="0" w:space="0" w:color="auto" w:frame="1"/>
        </w:rPr>
        <w:t xml:space="preserve"> p</w:t>
      </w:r>
      <w:r>
        <w:rPr>
          <w:rFonts w:ascii="Arial" w:hAnsi="Arial" w:cs="Arial"/>
          <w:b/>
          <w:bCs/>
          <w:bdr w:val="none" w:sz="0" w:space="0" w:color="auto" w:frame="1"/>
        </w:rPr>
        <w:t xml:space="preserve">. </w:t>
      </w:r>
      <w:r w:rsidRPr="004A3413">
        <w:rPr>
          <w:rFonts w:ascii="Arial" w:hAnsi="Arial" w:cs="Arial"/>
          <w:b/>
          <w:bCs/>
          <w:bdr w:val="none" w:sz="0" w:space="0" w:color="auto" w:frame="1"/>
        </w:rPr>
        <w:t>154:</w:t>
      </w:r>
    </w:p>
    <w:p w14:paraId="44998B66" w14:textId="77777777"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r w:rsidRPr="004A3413">
        <w:rPr>
          <w:rFonts w:ascii="Arial" w:hAnsi="Arial" w:cs="Arial"/>
          <w:bdr w:val="none" w:sz="0" w:space="0" w:color="auto" w:frame="1"/>
        </w:rPr>
        <w:t>Under header Confirmation of Application</w:t>
      </w:r>
    </w:p>
    <w:p w14:paraId="5185ADF5" w14:textId="77777777"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r w:rsidRPr="004A3413">
        <w:rPr>
          <w:rFonts w:ascii="Arial" w:hAnsi="Arial" w:cs="Arial"/>
          <w:bdr w:val="none" w:sz="0" w:space="0" w:color="auto" w:frame="1"/>
        </w:rPr>
        <w:t>2</w:t>
      </w:r>
      <w:r w:rsidRPr="004A3413">
        <w:rPr>
          <w:rFonts w:ascii="Arial" w:hAnsi="Arial" w:cs="Arial"/>
          <w:bdr w:val="none" w:sz="0" w:space="0" w:color="auto" w:frame="1"/>
          <w:vertAlign w:val="superscript"/>
        </w:rPr>
        <w:t>nd</w:t>
      </w:r>
      <w:r w:rsidRPr="004A3413">
        <w:rPr>
          <w:rFonts w:ascii="Arial" w:hAnsi="Arial" w:cs="Arial"/>
          <w:bdr w:val="none" w:sz="0" w:space="0" w:color="auto" w:frame="1"/>
        </w:rPr>
        <w:t xml:space="preserve"> paragraph, 1</w:t>
      </w:r>
      <w:r w:rsidRPr="004A3413">
        <w:rPr>
          <w:rFonts w:ascii="Arial" w:hAnsi="Arial" w:cs="Arial"/>
          <w:bdr w:val="none" w:sz="0" w:space="0" w:color="auto" w:frame="1"/>
          <w:vertAlign w:val="superscript"/>
        </w:rPr>
        <w:t>st</w:t>
      </w:r>
      <w:r w:rsidRPr="004A3413">
        <w:rPr>
          <w:rFonts w:ascii="Arial" w:hAnsi="Arial" w:cs="Arial"/>
          <w:bdr w:val="none" w:sz="0" w:space="0" w:color="auto" w:frame="1"/>
        </w:rPr>
        <w:t xml:space="preserve"> line, strike out “3 days” and replace with “5 days”.</w:t>
      </w:r>
    </w:p>
    <w:p w14:paraId="106F6B0C" w14:textId="77777777"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p>
    <w:p w14:paraId="1D6A5313" w14:textId="77777777"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r>
        <w:rPr>
          <w:rFonts w:ascii="Arial" w:hAnsi="Arial" w:cs="Arial"/>
          <w:bdr w:val="none" w:sz="0" w:space="0" w:color="auto" w:frame="1"/>
        </w:rPr>
        <w:t xml:space="preserve">2nd paragraph, after </w:t>
      </w:r>
      <w:r w:rsidRPr="004A3413">
        <w:rPr>
          <w:rFonts w:ascii="Arial" w:hAnsi="Arial" w:cs="Arial"/>
          <w:bdr w:val="none" w:sz="0" w:space="0" w:color="auto" w:frame="1"/>
        </w:rPr>
        <w:t>first sentence</w:t>
      </w:r>
      <w:r>
        <w:rPr>
          <w:rFonts w:ascii="Arial" w:hAnsi="Arial" w:cs="Arial"/>
          <w:bdr w:val="none" w:sz="0" w:space="0" w:color="auto" w:frame="1"/>
        </w:rPr>
        <w:t xml:space="preserve">, add </w:t>
      </w:r>
      <w:r w:rsidRPr="004A3413">
        <w:rPr>
          <w:rFonts w:ascii="Arial" w:hAnsi="Arial" w:cs="Arial"/>
          <w:bdr w:val="none" w:sz="0" w:space="0" w:color="auto" w:frame="1"/>
        </w:rPr>
        <w:t>a new sentence: The confirmation form may be emailed to the registrar at the court office where the application is to be heard.</w:t>
      </w:r>
      <w:r>
        <w:rPr>
          <w:rFonts w:ascii="Arial" w:hAnsi="Arial" w:cs="Arial"/>
          <w:bdr w:val="none" w:sz="0" w:space="0" w:color="auto" w:frame="1"/>
        </w:rPr>
        <w:t>”</w:t>
      </w:r>
    </w:p>
    <w:p w14:paraId="1301BDB9" w14:textId="77777777"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p>
    <w:p w14:paraId="356FC07A" w14:textId="3539D6EB" w:rsidR="00970065" w:rsidRPr="004A3413" w:rsidRDefault="00970065" w:rsidP="00970065">
      <w:pPr>
        <w:pStyle w:val="wordsection1"/>
        <w:shd w:val="clear" w:color="auto" w:fill="FFFFFF"/>
        <w:spacing w:before="0" w:beforeAutospacing="0" w:after="120" w:afterAutospacing="0"/>
        <w:rPr>
          <w:rFonts w:ascii="Arial" w:hAnsi="Arial" w:cs="Arial"/>
          <w:b/>
          <w:bCs/>
          <w:bdr w:val="none" w:sz="0" w:space="0" w:color="auto" w:frame="1"/>
        </w:rPr>
      </w:pPr>
      <w:r>
        <w:rPr>
          <w:rFonts w:ascii="Arial" w:hAnsi="Arial" w:cs="Arial"/>
          <w:b/>
          <w:bCs/>
          <w:bdr w:val="none" w:sz="0" w:space="0" w:color="auto" w:frame="1"/>
        </w:rPr>
        <w:t>C</w:t>
      </w:r>
      <w:r w:rsidRPr="004A3413">
        <w:rPr>
          <w:rFonts w:ascii="Arial" w:hAnsi="Arial" w:cs="Arial"/>
          <w:b/>
          <w:bCs/>
          <w:bdr w:val="none" w:sz="0" w:space="0" w:color="auto" w:frame="1"/>
        </w:rPr>
        <w:t>h 9, p. 233</w:t>
      </w:r>
      <w:r>
        <w:rPr>
          <w:rFonts w:ascii="Arial" w:hAnsi="Arial" w:cs="Arial"/>
          <w:b/>
          <w:bCs/>
          <w:bdr w:val="none" w:sz="0" w:space="0" w:color="auto" w:frame="1"/>
        </w:rPr>
        <w:t>:</w:t>
      </w:r>
    </w:p>
    <w:p w14:paraId="49B852E5" w14:textId="06F6B7C3"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r w:rsidRPr="004A3413">
        <w:rPr>
          <w:rFonts w:ascii="Arial" w:hAnsi="Arial" w:cs="Arial"/>
          <w:bdr w:val="none" w:sz="0" w:space="0" w:color="auto" w:frame="1"/>
        </w:rPr>
        <w:t>Under header Confirmation of Motions</w:t>
      </w:r>
    </w:p>
    <w:p w14:paraId="3F50F209" w14:textId="77777777"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r w:rsidRPr="004A3413">
        <w:rPr>
          <w:rFonts w:ascii="Arial" w:hAnsi="Arial" w:cs="Arial"/>
          <w:bdr w:val="none" w:sz="0" w:space="0" w:color="auto" w:frame="1"/>
        </w:rPr>
        <w:t>1</w:t>
      </w:r>
      <w:r w:rsidRPr="004A3413">
        <w:rPr>
          <w:rFonts w:ascii="Arial" w:hAnsi="Arial" w:cs="Arial"/>
          <w:bdr w:val="none" w:sz="0" w:space="0" w:color="auto" w:frame="1"/>
          <w:vertAlign w:val="superscript"/>
        </w:rPr>
        <w:t>st</w:t>
      </w:r>
      <w:r w:rsidRPr="004A3413">
        <w:rPr>
          <w:rFonts w:ascii="Arial" w:hAnsi="Arial" w:cs="Arial"/>
          <w:bdr w:val="none" w:sz="0" w:space="0" w:color="auto" w:frame="1"/>
        </w:rPr>
        <w:t xml:space="preserve"> paragraph: </w:t>
      </w:r>
    </w:p>
    <w:p w14:paraId="0F434C88" w14:textId="41F464C5"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r w:rsidRPr="004A3413">
        <w:rPr>
          <w:rFonts w:ascii="Arial" w:hAnsi="Arial" w:cs="Arial"/>
          <w:bdr w:val="none" w:sz="0" w:space="0" w:color="auto" w:frame="1"/>
        </w:rPr>
        <w:t>8</w:t>
      </w:r>
      <w:r w:rsidRPr="004A3413">
        <w:rPr>
          <w:rFonts w:ascii="Arial" w:hAnsi="Arial" w:cs="Arial"/>
          <w:bdr w:val="none" w:sz="0" w:space="0" w:color="auto" w:frame="1"/>
          <w:vertAlign w:val="superscript"/>
        </w:rPr>
        <w:t>th</w:t>
      </w:r>
      <w:r w:rsidRPr="004A3413">
        <w:rPr>
          <w:rFonts w:ascii="Arial" w:hAnsi="Arial" w:cs="Arial"/>
          <w:bdr w:val="none" w:sz="0" w:space="0" w:color="auto" w:frame="1"/>
        </w:rPr>
        <w:t xml:space="preserve"> line from top, strike out “</w:t>
      </w:r>
      <w:r w:rsidRPr="00B11AA5">
        <w:rPr>
          <w:rFonts w:ascii="Arial" w:hAnsi="Arial" w:cs="Arial"/>
          <w:b/>
          <w:bCs/>
          <w:bdr w:val="none" w:sz="0" w:space="0" w:color="auto" w:frame="1"/>
        </w:rPr>
        <w:t>three</w:t>
      </w:r>
      <w:r w:rsidRPr="004A3413">
        <w:rPr>
          <w:rFonts w:ascii="Arial" w:hAnsi="Arial" w:cs="Arial"/>
          <w:bdr w:val="none" w:sz="0" w:space="0" w:color="auto" w:frame="1"/>
        </w:rPr>
        <w:t>” and replace with “</w:t>
      </w:r>
      <w:r w:rsidRPr="00B11AA5">
        <w:rPr>
          <w:rFonts w:ascii="Arial" w:hAnsi="Arial" w:cs="Arial"/>
          <w:b/>
          <w:bCs/>
          <w:bdr w:val="none" w:sz="0" w:space="0" w:color="auto" w:frame="1"/>
        </w:rPr>
        <w:t>five</w:t>
      </w:r>
      <w:r w:rsidRPr="004A3413">
        <w:rPr>
          <w:rFonts w:ascii="Arial" w:hAnsi="Arial" w:cs="Arial"/>
          <w:bdr w:val="none" w:sz="0" w:space="0" w:color="auto" w:frame="1"/>
        </w:rPr>
        <w:t xml:space="preserve">” so that the sentence reads </w:t>
      </w:r>
      <w:r>
        <w:rPr>
          <w:rFonts w:ascii="Arial" w:hAnsi="Arial" w:cs="Arial"/>
          <w:bdr w:val="none" w:sz="0" w:space="0" w:color="auto" w:frame="1"/>
        </w:rPr>
        <w:t>“five</w:t>
      </w:r>
      <w:r w:rsidRPr="004A3413">
        <w:rPr>
          <w:rFonts w:ascii="Arial" w:hAnsi="Arial" w:cs="Arial"/>
          <w:bdr w:val="none" w:sz="0" w:space="0" w:color="auto" w:frame="1"/>
        </w:rPr>
        <w:t xml:space="preserve"> days</w:t>
      </w:r>
      <w:r>
        <w:rPr>
          <w:rFonts w:ascii="Arial" w:hAnsi="Arial" w:cs="Arial"/>
          <w:bdr w:val="none" w:sz="0" w:space="0" w:color="auto" w:frame="1"/>
        </w:rPr>
        <w:t>.”</w:t>
      </w:r>
    </w:p>
    <w:p w14:paraId="3FE0EB78" w14:textId="57CAA47E"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r w:rsidRPr="004A3413">
        <w:rPr>
          <w:rFonts w:ascii="Arial" w:hAnsi="Arial" w:cs="Arial"/>
          <w:bdr w:val="none" w:sz="0" w:space="0" w:color="auto" w:frame="1"/>
        </w:rPr>
        <w:t>At the end of the first paragraph, add a sentence</w:t>
      </w:r>
      <w:proofErr w:type="gramStart"/>
      <w:r w:rsidRPr="004A3413">
        <w:rPr>
          <w:rFonts w:ascii="Arial" w:hAnsi="Arial" w:cs="Arial"/>
          <w:bdr w:val="none" w:sz="0" w:space="0" w:color="auto" w:frame="1"/>
        </w:rPr>
        <w:t xml:space="preserve">:  </w:t>
      </w:r>
      <w:r>
        <w:rPr>
          <w:rFonts w:ascii="Arial" w:hAnsi="Arial" w:cs="Arial"/>
          <w:bdr w:val="none" w:sz="0" w:space="0" w:color="auto" w:frame="1"/>
        </w:rPr>
        <w:t>“</w:t>
      </w:r>
      <w:proofErr w:type="gramEnd"/>
      <w:r w:rsidRPr="004A3413">
        <w:rPr>
          <w:rFonts w:ascii="Arial" w:hAnsi="Arial" w:cs="Arial"/>
          <w:bdr w:val="none" w:sz="0" w:space="0" w:color="auto" w:frame="1"/>
        </w:rPr>
        <w:t>The notice of confirmation may be e</w:t>
      </w:r>
      <w:r>
        <w:rPr>
          <w:rFonts w:ascii="Arial" w:hAnsi="Arial" w:cs="Arial"/>
          <w:bdr w:val="none" w:sz="0" w:space="0" w:color="auto" w:frame="1"/>
        </w:rPr>
        <w:t>m</w:t>
      </w:r>
      <w:r w:rsidRPr="004A3413">
        <w:rPr>
          <w:rFonts w:ascii="Arial" w:hAnsi="Arial" w:cs="Arial"/>
          <w:bdr w:val="none" w:sz="0" w:space="0" w:color="auto" w:frame="1"/>
        </w:rPr>
        <w:t>ailed to the court office.</w:t>
      </w:r>
      <w:r>
        <w:rPr>
          <w:rFonts w:ascii="Arial" w:hAnsi="Arial" w:cs="Arial"/>
          <w:bdr w:val="none" w:sz="0" w:space="0" w:color="auto" w:frame="1"/>
        </w:rPr>
        <w:t>”</w:t>
      </w:r>
    </w:p>
    <w:p w14:paraId="32B63928" w14:textId="77777777"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r w:rsidRPr="004A3413">
        <w:rPr>
          <w:rFonts w:ascii="Arial" w:hAnsi="Arial" w:cs="Arial"/>
          <w:bdr w:val="none" w:sz="0" w:space="0" w:color="auto" w:frame="1"/>
        </w:rPr>
        <w:t>2</w:t>
      </w:r>
      <w:r w:rsidRPr="004A3413">
        <w:rPr>
          <w:rFonts w:ascii="Arial" w:hAnsi="Arial" w:cs="Arial"/>
          <w:bdr w:val="none" w:sz="0" w:space="0" w:color="auto" w:frame="1"/>
          <w:vertAlign w:val="superscript"/>
        </w:rPr>
        <w:t>nd</w:t>
      </w:r>
      <w:r w:rsidRPr="004A3413">
        <w:rPr>
          <w:rFonts w:ascii="Arial" w:hAnsi="Arial" w:cs="Arial"/>
          <w:bdr w:val="none" w:sz="0" w:space="0" w:color="auto" w:frame="1"/>
        </w:rPr>
        <w:t xml:space="preserve"> paragraph:</w:t>
      </w:r>
    </w:p>
    <w:p w14:paraId="18BEBA24" w14:textId="14156831"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r w:rsidRPr="004A3413">
        <w:rPr>
          <w:rFonts w:ascii="Arial" w:hAnsi="Arial" w:cs="Arial"/>
          <w:bdr w:val="none" w:sz="0" w:space="0" w:color="auto" w:frame="1"/>
        </w:rPr>
        <w:t>Third line from top, strike out “as of February 2019</w:t>
      </w:r>
      <w:proofErr w:type="gramStart"/>
      <w:r w:rsidRPr="004A3413">
        <w:rPr>
          <w:rFonts w:ascii="Arial" w:hAnsi="Arial" w:cs="Arial"/>
          <w:bdr w:val="none" w:sz="0" w:space="0" w:color="auto" w:frame="1"/>
        </w:rPr>
        <w:t>,”  and</w:t>
      </w:r>
      <w:proofErr w:type="gramEnd"/>
      <w:r w:rsidRPr="004A3413">
        <w:rPr>
          <w:rFonts w:ascii="Arial" w:hAnsi="Arial" w:cs="Arial"/>
          <w:bdr w:val="none" w:sz="0" w:space="0" w:color="auto" w:frame="1"/>
        </w:rPr>
        <w:t xml:space="preserve"> replace with “ as of April 2022</w:t>
      </w:r>
      <w:r>
        <w:rPr>
          <w:rFonts w:ascii="Arial" w:hAnsi="Arial" w:cs="Arial"/>
          <w:bdr w:val="none" w:sz="0" w:space="0" w:color="auto" w:frame="1"/>
        </w:rPr>
        <w:t>.</w:t>
      </w:r>
      <w:r w:rsidRPr="004A3413">
        <w:rPr>
          <w:rFonts w:ascii="Arial" w:hAnsi="Arial" w:cs="Arial"/>
          <w:bdr w:val="none" w:sz="0" w:space="0" w:color="auto" w:frame="1"/>
        </w:rPr>
        <w:t>”</w:t>
      </w:r>
    </w:p>
    <w:p w14:paraId="67F7B68A" w14:textId="77777777"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r w:rsidRPr="004A3413">
        <w:rPr>
          <w:rFonts w:ascii="Arial" w:hAnsi="Arial" w:cs="Arial"/>
          <w:bdr w:val="none" w:sz="0" w:space="0" w:color="auto" w:frame="1"/>
        </w:rPr>
        <w:t>6</w:t>
      </w:r>
      <w:r w:rsidRPr="004A3413">
        <w:rPr>
          <w:rFonts w:ascii="Arial" w:hAnsi="Arial" w:cs="Arial"/>
          <w:bdr w:val="none" w:sz="0" w:space="0" w:color="auto" w:frame="1"/>
          <w:vertAlign w:val="superscript"/>
        </w:rPr>
        <w:t>th</w:t>
      </w:r>
      <w:r w:rsidRPr="004A3413">
        <w:rPr>
          <w:rFonts w:ascii="Arial" w:hAnsi="Arial" w:cs="Arial"/>
          <w:bdr w:val="none" w:sz="0" w:space="0" w:color="auto" w:frame="1"/>
        </w:rPr>
        <w:t xml:space="preserve"> line down, strike out “two days” and replace with “</w:t>
      </w:r>
      <w:r>
        <w:rPr>
          <w:rFonts w:ascii="Arial" w:hAnsi="Arial" w:cs="Arial"/>
          <w:bdr w:val="none" w:sz="0" w:space="0" w:color="auto" w:frame="1"/>
        </w:rPr>
        <w:t>four</w:t>
      </w:r>
      <w:r w:rsidRPr="004A3413">
        <w:rPr>
          <w:rFonts w:ascii="Arial" w:hAnsi="Arial" w:cs="Arial"/>
          <w:bdr w:val="none" w:sz="0" w:space="0" w:color="auto" w:frame="1"/>
        </w:rPr>
        <w:t xml:space="preserve"> days”.</w:t>
      </w:r>
    </w:p>
    <w:p w14:paraId="2522C691" w14:textId="77777777" w:rsidR="00970065" w:rsidRPr="004A3413" w:rsidRDefault="00970065" w:rsidP="00970065">
      <w:pPr>
        <w:pStyle w:val="wordsection1"/>
        <w:shd w:val="clear" w:color="auto" w:fill="FFFFFF"/>
        <w:spacing w:before="0" w:beforeAutospacing="0" w:after="120" w:afterAutospacing="0"/>
        <w:rPr>
          <w:rFonts w:ascii="Arial" w:hAnsi="Arial" w:cs="Arial"/>
          <w:bdr w:val="none" w:sz="0" w:space="0" w:color="auto" w:frame="1"/>
        </w:rPr>
      </w:pPr>
    </w:p>
    <w:p w14:paraId="346C49AB" w14:textId="5849AEAA" w:rsidR="00970065" w:rsidRPr="004A3413" w:rsidRDefault="00970065" w:rsidP="00970065">
      <w:pPr>
        <w:pStyle w:val="wordsection1"/>
        <w:shd w:val="clear" w:color="auto" w:fill="FFFFFF"/>
        <w:spacing w:before="0" w:beforeAutospacing="0" w:after="120" w:afterAutospacing="0"/>
        <w:rPr>
          <w:rFonts w:ascii="Arial" w:hAnsi="Arial" w:cs="Arial"/>
          <w:b/>
          <w:bCs/>
          <w:bdr w:val="none" w:sz="0" w:space="0" w:color="auto" w:frame="1"/>
        </w:rPr>
      </w:pPr>
      <w:r w:rsidRPr="004A3413">
        <w:rPr>
          <w:rFonts w:ascii="Arial" w:hAnsi="Arial" w:cs="Arial"/>
          <w:b/>
          <w:bCs/>
          <w:bdr w:val="none" w:sz="0" w:space="0" w:color="auto" w:frame="1"/>
        </w:rPr>
        <w:t>p. 234, form 9B</w:t>
      </w:r>
    </w:p>
    <w:p w14:paraId="3952F37F" w14:textId="77777777" w:rsidR="00970065" w:rsidRPr="0078422C" w:rsidRDefault="00970065" w:rsidP="00970065">
      <w:pPr>
        <w:pStyle w:val="wordsection1"/>
        <w:shd w:val="clear" w:color="auto" w:fill="FFFFFF"/>
        <w:spacing w:before="0" w:beforeAutospacing="0" w:after="120" w:afterAutospacing="0"/>
        <w:rPr>
          <w:rFonts w:ascii="Arial" w:hAnsi="Arial" w:cs="Arial"/>
          <w:bdr w:val="none" w:sz="0" w:space="0" w:color="auto" w:frame="1"/>
        </w:rPr>
      </w:pPr>
      <w:r w:rsidRPr="004A3413">
        <w:rPr>
          <w:rFonts w:ascii="Arial" w:hAnsi="Arial" w:cs="Arial"/>
          <w:bdr w:val="none" w:sz="0" w:space="0" w:color="auto" w:frame="1"/>
        </w:rPr>
        <w:t xml:space="preserve">on page 235, on the last line, strike out “February 1, 2021” and add </w:t>
      </w:r>
      <w:proofErr w:type="gramStart"/>
      <w:r w:rsidRPr="004A3413">
        <w:rPr>
          <w:rFonts w:ascii="Arial" w:hAnsi="Arial" w:cs="Arial"/>
          <w:bdr w:val="none" w:sz="0" w:space="0" w:color="auto" w:frame="1"/>
        </w:rPr>
        <w:t>“ February</w:t>
      </w:r>
      <w:proofErr w:type="gramEnd"/>
      <w:r w:rsidRPr="004A3413">
        <w:rPr>
          <w:rFonts w:ascii="Arial" w:hAnsi="Arial" w:cs="Arial"/>
          <w:bdr w:val="none" w:sz="0" w:space="0" w:color="auto" w:frame="1"/>
        </w:rPr>
        <w:t xml:space="preserve"> 25, 2022”.</w:t>
      </w:r>
      <w:r>
        <w:rPr>
          <w:rFonts w:ascii="Arial" w:hAnsi="Arial" w:cs="Arial"/>
          <w:color w:val="555555"/>
          <w:sz w:val="20"/>
          <w:szCs w:val="20"/>
          <w:bdr w:val="none" w:sz="0" w:space="0" w:color="auto" w:frame="1"/>
        </w:rPr>
        <w:t> </w:t>
      </w:r>
    </w:p>
    <w:p w14:paraId="3E5428D4" w14:textId="77777777" w:rsidR="00970065" w:rsidRDefault="00970065" w:rsidP="00970065">
      <w:pPr>
        <w:spacing w:after="120"/>
      </w:pPr>
    </w:p>
    <w:p w14:paraId="0937C26D" w14:textId="61471086" w:rsidR="00970065" w:rsidRDefault="00970065" w:rsidP="00970065">
      <w:pPr>
        <w:spacing w:after="120"/>
      </w:pPr>
    </w:p>
    <w:p w14:paraId="399D7787" w14:textId="77777777" w:rsidR="00944D17" w:rsidRPr="00944D17" w:rsidRDefault="00944D17" w:rsidP="00944D17">
      <w:pPr>
        <w:pStyle w:val="Heading1"/>
      </w:pPr>
      <w:r w:rsidRPr="00944D17">
        <w:t>March 2022: Updates to Ontario's Rules of Civil Procedure (O Reg 18/22).</w:t>
      </w:r>
    </w:p>
    <w:p w14:paraId="71D7C5EC" w14:textId="77777777" w:rsidR="00944D17" w:rsidRDefault="00944D17" w:rsidP="00970065">
      <w:pPr>
        <w:pStyle w:val="Heading1"/>
        <w:spacing w:before="0" w:after="120"/>
      </w:pPr>
    </w:p>
    <w:p w14:paraId="23079F2F" w14:textId="7B471AB0" w:rsidR="00970065" w:rsidRDefault="00970065" w:rsidP="00970065">
      <w:pPr>
        <w:pStyle w:val="Heading1"/>
        <w:spacing w:before="0" w:after="120"/>
      </w:pPr>
      <w:r>
        <w:t>Background</w:t>
      </w:r>
    </w:p>
    <w:p w14:paraId="7672A5F7" w14:textId="77777777" w:rsidR="00970065" w:rsidRDefault="00970065" w:rsidP="00970065">
      <w:pPr>
        <w:spacing w:after="120"/>
      </w:pPr>
      <w:r>
        <w:t xml:space="preserve">In January 2022, O Reg 18/22 was filed, which amended the </w:t>
      </w:r>
      <w:r w:rsidRPr="009466D0">
        <w:rPr>
          <w:i/>
          <w:iCs/>
        </w:rPr>
        <w:t>Rules of Civil Procedure</w:t>
      </w:r>
      <w:r>
        <w:t xml:space="preserve">. </w:t>
      </w:r>
      <w:r w:rsidRPr="009466D0">
        <w:t xml:space="preserve">The amendments come into force on </w:t>
      </w:r>
      <w:r w:rsidRPr="009466D0">
        <w:rPr>
          <w:b/>
          <w:bCs/>
        </w:rPr>
        <w:t>March 31, 2022</w:t>
      </w:r>
      <w:r w:rsidRPr="009466D0">
        <w:t>.</w:t>
      </w:r>
      <w:r>
        <w:t xml:space="preserve"> </w:t>
      </w:r>
    </w:p>
    <w:p w14:paraId="2755DF6E" w14:textId="77777777" w:rsidR="00970065" w:rsidRPr="009466D0" w:rsidRDefault="00970065" w:rsidP="00970065">
      <w:pPr>
        <w:spacing w:after="120"/>
      </w:pPr>
      <w:r>
        <w:t xml:space="preserve">The regulation amends service of experts’ reports, the scheduling of pre-trial conferences, the test for leave to admit evidence at trial, among other things. See more on the </w:t>
      </w:r>
      <w:hyperlink r:id="rId8" w:history="1">
        <w:r w:rsidRPr="00B664E9">
          <w:rPr>
            <w:rStyle w:val="Hyperlink"/>
          </w:rPr>
          <w:t>Government of Ontario website</w:t>
        </w:r>
      </w:hyperlink>
      <w:r>
        <w:t>.</w:t>
      </w:r>
    </w:p>
    <w:p w14:paraId="24694B9D" w14:textId="77777777" w:rsidR="00970065" w:rsidRPr="00796DF1" w:rsidRDefault="00970065" w:rsidP="00970065">
      <w:pPr>
        <w:pStyle w:val="Heading1"/>
        <w:spacing w:before="0" w:after="120"/>
      </w:pPr>
      <w:r>
        <w:t>Amendments to Text</w:t>
      </w:r>
    </w:p>
    <w:p w14:paraId="768698E7" w14:textId="77777777" w:rsidR="00970065" w:rsidRDefault="00970065" w:rsidP="00970065">
      <w:pPr>
        <w:spacing w:after="120"/>
      </w:pPr>
      <w:r>
        <w:t>Chapter 14:</w:t>
      </w:r>
    </w:p>
    <w:p w14:paraId="24A4D213" w14:textId="77777777" w:rsidR="00970065" w:rsidRDefault="00970065" w:rsidP="00970065">
      <w:pPr>
        <w:pStyle w:val="ListParagraph"/>
        <w:numPr>
          <w:ilvl w:val="0"/>
          <w:numId w:val="2"/>
        </w:numPr>
        <w:spacing w:after="120"/>
        <w:contextualSpacing w:val="0"/>
      </w:pPr>
      <w:r>
        <w:t>Page 332, under the heading “Rules that Relate to Discover,” add the following sentence to the end of item three in the numbered list:</w:t>
      </w:r>
    </w:p>
    <w:p w14:paraId="621BFBFE" w14:textId="77777777" w:rsidR="00970065" w:rsidRDefault="00970065" w:rsidP="00970065">
      <w:pPr>
        <w:pStyle w:val="ListParagraph"/>
        <w:numPr>
          <w:ilvl w:val="1"/>
          <w:numId w:val="2"/>
        </w:numPr>
        <w:spacing w:after="120"/>
        <w:contextualSpacing w:val="0"/>
      </w:pPr>
      <w:r>
        <w:t>“If not properly disclosed according to the Rules, the reports cannot be introduced into evidence without leave of the trial judge pursuant to the test set out in Rule 53.08(1).”</w:t>
      </w:r>
    </w:p>
    <w:p w14:paraId="669F17FD" w14:textId="77777777" w:rsidR="00970065" w:rsidRDefault="00970065" w:rsidP="00970065">
      <w:pPr>
        <w:spacing w:after="120"/>
      </w:pPr>
      <w:r>
        <w:lastRenderedPageBreak/>
        <w:t>Chapter 16:</w:t>
      </w:r>
    </w:p>
    <w:p w14:paraId="00682127" w14:textId="77777777" w:rsidR="00970065" w:rsidRDefault="00970065" w:rsidP="00970065">
      <w:pPr>
        <w:pStyle w:val="ListParagraph"/>
        <w:numPr>
          <w:ilvl w:val="0"/>
          <w:numId w:val="2"/>
        </w:numPr>
        <w:spacing w:after="120"/>
        <w:contextualSpacing w:val="0"/>
      </w:pPr>
      <w:r>
        <w:t>Page 393, under the heading “Setting the Action Down for Trial: Rules 48.01 and 48.02,” add the following at the end of the second paragraph:</w:t>
      </w:r>
    </w:p>
    <w:p w14:paraId="35CC7949" w14:textId="77777777" w:rsidR="00970065" w:rsidRDefault="00970065" w:rsidP="00970065">
      <w:pPr>
        <w:pStyle w:val="ListParagraph"/>
        <w:numPr>
          <w:ilvl w:val="1"/>
          <w:numId w:val="2"/>
        </w:numPr>
        <w:spacing w:after="120"/>
        <w:contextualSpacing w:val="0"/>
      </w:pPr>
      <w:r>
        <w:t>“Reflecting the increasing importance of the pre-trial conference to narrow issues and clarify matters for the trial judge, as of March 2022, the trial record must now include the pre-trial conference report and any order made at the pre-trial conference under Rule 50.07.”</w:t>
      </w:r>
    </w:p>
    <w:p w14:paraId="0055AE21" w14:textId="77777777" w:rsidR="00970065" w:rsidRDefault="00970065" w:rsidP="00970065">
      <w:pPr>
        <w:pStyle w:val="ListParagraph"/>
        <w:numPr>
          <w:ilvl w:val="0"/>
          <w:numId w:val="2"/>
        </w:numPr>
        <w:spacing w:after="120"/>
        <w:contextualSpacing w:val="0"/>
      </w:pPr>
      <w:r>
        <w:t>Page 395, under the heading “Placing the Act on the Trial List: Rules 48.05 to 48.13,” add the following at the end of the first sentence in the first paragraph:</w:t>
      </w:r>
    </w:p>
    <w:p w14:paraId="7205EA39" w14:textId="77777777" w:rsidR="00970065" w:rsidRDefault="00970065" w:rsidP="00970065">
      <w:pPr>
        <w:pStyle w:val="ListParagraph"/>
        <w:numPr>
          <w:ilvl w:val="1"/>
          <w:numId w:val="2"/>
        </w:numPr>
        <w:spacing w:after="120"/>
        <w:contextualSpacing w:val="0"/>
      </w:pPr>
      <w:r>
        <w:t>“Rule 48.05 now specifically requires the registrar to take into account any pre-trial conference scheduling requirements.”</w:t>
      </w:r>
    </w:p>
    <w:p w14:paraId="67F77C6D" w14:textId="77777777" w:rsidR="00970065" w:rsidRDefault="00970065" w:rsidP="00970065">
      <w:pPr>
        <w:pStyle w:val="ListParagraph"/>
        <w:numPr>
          <w:ilvl w:val="0"/>
          <w:numId w:val="2"/>
        </w:numPr>
        <w:spacing w:after="120"/>
        <w:contextualSpacing w:val="0"/>
      </w:pPr>
      <w:r>
        <w:t xml:space="preserve">Page 397, in footnote 6, line (c), remove “or” after “50.07” and replace it with “and any,” so the text for line (c) reads:  </w:t>
      </w:r>
    </w:p>
    <w:p w14:paraId="1C6D433B" w14:textId="77777777" w:rsidR="00970065" w:rsidRDefault="00970065" w:rsidP="00970065">
      <w:pPr>
        <w:pStyle w:val="ListParagraph"/>
        <w:numPr>
          <w:ilvl w:val="1"/>
          <w:numId w:val="2"/>
        </w:numPr>
        <w:spacing w:after="120"/>
        <w:contextualSpacing w:val="0"/>
      </w:pPr>
      <w:r>
        <w:t>“(c) any order under rule 50.07 and any pre-trial conference report under rule 50.08; and”</w:t>
      </w:r>
    </w:p>
    <w:p w14:paraId="26B8FBE9" w14:textId="77777777" w:rsidR="00970065" w:rsidRDefault="00970065" w:rsidP="00970065">
      <w:pPr>
        <w:pStyle w:val="ListParagraph"/>
        <w:numPr>
          <w:ilvl w:val="0"/>
          <w:numId w:val="2"/>
        </w:numPr>
        <w:spacing w:after="120"/>
        <w:contextualSpacing w:val="0"/>
      </w:pPr>
      <w:r>
        <w:t>Page 398, third and fourth full paragraphs from the top of the page should be replaced with the following two paragraphs:</w:t>
      </w:r>
    </w:p>
    <w:p w14:paraId="21A4EC71" w14:textId="77777777" w:rsidR="00970065" w:rsidRDefault="00970065" w:rsidP="00970065">
      <w:pPr>
        <w:pStyle w:val="ListParagraph"/>
        <w:numPr>
          <w:ilvl w:val="1"/>
          <w:numId w:val="2"/>
        </w:numPr>
        <w:spacing w:after="120"/>
        <w:contextualSpacing w:val="0"/>
      </w:pPr>
      <w:r>
        <w:t>“The pre-trial conference in actions is mandatory in every case and must be held no more than 120 days and no fewer than 30 days before the date that the trial is scheduled to begin, or on the first day of the sitting during which the trial is expected to be held.”</w:t>
      </w:r>
    </w:p>
    <w:p w14:paraId="4F0F79E0" w14:textId="77777777" w:rsidR="00970065" w:rsidRDefault="00970065" w:rsidP="00970065">
      <w:pPr>
        <w:pStyle w:val="ListParagraph"/>
        <w:numPr>
          <w:ilvl w:val="1"/>
          <w:numId w:val="2"/>
        </w:numPr>
        <w:spacing w:after="120"/>
        <w:contextualSpacing w:val="0"/>
      </w:pPr>
      <w:r>
        <w:t>“In the event that the parties fail to schedule a conference with the 120-day time requirement, the registrar will schedule a conference and give all the parties notice.”</w:t>
      </w:r>
    </w:p>
    <w:p w14:paraId="1FC36383" w14:textId="77777777" w:rsidR="00970065" w:rsidRDefault="00970065" w:rsidP="00970065">
      <w:pPr>
        <w:pStyle w:val="ListParagraph"/>
        <w:numPr>
          <w:ilvl w:val="0"/>
          <w:numId w:val="2"/>
        </w:numPr>
        <w:spacing w:after="120"/>
        <w:contextualSpacing w:val="0"/>
      </w:pPr>
      <w:r>
        <w:t>Page 398, at the end of the first new paragraph above, add a footnote:</w:t>
      </w:r>
    </w:p>
    <w:p w14:paraId="25CD69F7" w14:textId="77777777" w:rsidR="00970065" w:rsidRDefault="00970065" w:rsidP="00970065">
      <w:pPr>
        <w:pStyle w:val="ListParagraph"/>
        <w:numPr>
          <w:ilvl w:val="1"/>
          <w:numId w:val="2"/>
        </w:numPr>
        <w:spacing w:after="120"/>
        <w:contextualSpacing w:val="0"/>
      </w:pPr>
      <w:r>
        <w:t>“Rule 50.02(2.1).”</w:t>
      </w:r>
    </w:p>
    <w:p w14:paraId="5466E63F" w14:textId="77777777" w:rsidR="00970065" w:rsidRDefault="00970065" w:rsidP="00970065">
      <w:pPr>
        <w:pStyle w:val="ListParagraph"/>
        <w:numPr>
          <w:ilvl w:val="0"/>
          <w:numId w:val="2"/>
        </w:numPr>
        <w:spacing w:after="120"/>
        <w:contextualSpacing w:val="0"/>
      </w:pPr>
      <w:r>
        <w:t>Page 398, after the bulleted list near the bottom of the page, add:</w:t>
      </w:r>
    </w:p>
    <w:p w14:paraId="0A9BDD9A" w14:textId="77777777" w:rsidR="00970065" w:rsidRDefault="00970065" w:rsidP="00970065">
      <w:pPr>
        <w:pStyle w:val="ListParagraph"/>
        <w:numPr>
          <w:ilvl w:val="1"/>
          <w:numId w:val="2"/>
        </w:numPr>
        <w:spacing w:after="120"/>
        <w:contextualSpacing w:val="0"/>
      </w:pPr>
      <w:r>
        <w:t>“At the conclusion of the pre-trial conference, the judge or associate judge presiding under Rule 50.03.1 is required to prepare and produce a pre-trial conference report in every case, whether there are issues concerning scheduling the trial or not. Further, if a pre-trial conference is unproductive due to a party’s conduct, Rule 50.12 permits the judge or associate judge presiding over the pre-trial conference to order costs to be paid immediately to the other party or parties.”</w:t>
      </w:r>
    </w:p>
    <w:p w14:paraId="189100D7" w14:textId="77777777" w:rsidR="00970065" w:rsidRDefault="00970065" w:rsidP="00970065">
      <w:pPr>
        <w:pStyle w:val="ListParagraph"/>
        <w:numPr>
          <w:ilvl w:val="0"/>
          <w:numId w:val="2"/>
        </w:numPr>
        <w:spacing w:after="120"/>
        <w:contextualSpacing w:val="0"/>
      </w:pPr>
      <w:r>
        <w:t>Page 398, remove the third last bullet point: “The advisability of fixing a date for the trial or hearing.”</w:t>
      </w:r>
    </w:p>
    <w:p w14:paraId="0DD9EBCF" w14:textId="77777777" w:rsidR="00970065" w:rsidRDefault="00970065" w:rsidP="00970065">
      <w:pPr>
        <w:pStyle w:val="ListParagraph"/>
        <w:numPr>
          <w:ilvl w:val="0"/>
          <w:numId w:val="2"/>
        </w:numPr>
        <w:spacing w:after="120"/>
        <w:contextualSpacing w:val="0"/>
      </w:pPr>
      <w:r>
        <w:t xml:space="preserve">Page 399, in the numbered list, add at the end of the third item: </w:t>
      </w:r>
    </w:p>
    <w:p w14:paraId="7C382469" w14:textId="77777777" w:rsidR="00970065" w:rsidRDefault="00970065" w:rsidP="00970065">
      <w:pPr>
        <w:pStyle w:val="ListParagraph"/>
        <w:numPr>
          <w:ilvl w:val="1"/>
          <w:numId w:val="2"/>
        </w:numPr>
        <w:spacing w:after="120"/>
        <w:contextualSpacing w:val="0"/>
      </w:pPr>
      <w:r>
        <w:lastRenderedPageBreak/>
        <w:t>“Rule 50.03.1 now requires every party to an action to certify whether they intend to rely on expert evidence at trial, and if so, whether they have served their experts’ reports within the time for serving them under the Rules.”</w:t>
      </w:r>
    </w:p>
    <w:p w14:paraId="10D9C38A" w14:textId="77777777" w:rsidR="00970065" w:rsidRDefault="00970065" w:rsidP="00970065">
      <w:pPr>
        <w:spacing w:after="120"/>
      </w:pPr>
      <w:r>
        <w:t>Chapter 17:</w:t>
      </w:r>
    </w:p>
    <w:p w14:paraId="0D2F2E1F" w14:textId="77777777" w:rsidR="00970065" w:rsidRDefault="00970065" w:rsidP="00970065">
      <w:pPr>
        <w:numPr>
          <w:ilvl w:val="0"/>
          <w:numId w:val="2"/>
        </w:numPr>
        <w:spacing w:after="120"/>
        <w:ind w:left="709"/>
      </w:pPr>
      <w:r>
        <w:t>Page 420, under the heading “Expert Witnesses,” add the following sentence to the last paragraph:</w:t>
      </w:r>
    </w:p>
    <w:p w14:paraId="66091C73" w14:textId="77777777" w:rsidR="00970065" w:rsidRDefault="00970065" w:rsidP="00970065">
      <w:pPr>
        <w:pStyle w:val="ListParagraph"/>
        <w:numPr>
          <w:ilvl w:val="1"/>
          <w:numId w:val="2"/>
        </w:numPr>
        <w:spacing w:after="120"/>
        <w:contextualSpacing w:val="0"/>
      </w:pPr>
      <w:r>
        <w:t>“Although the times set out for service of an expert report or supplementary report may be extended or abridged by the judge or by the written consent of the parties (Rule 53.03(4)).”</w:t>
      </w:r>
    </w:p>
    <w:p w14:paraId="069542AB" w14:textId="77777777" w:rsidR="00970065" w:rsidRDefault="00970065" w:rsidP="00970065">
      <w:pPr>
        <w:spacing w:after="120"/>
      </w:pPr>
      <w:r>
        <w:t>Chapter 24:</w:t>
      </w:r>
    </w:p>
    <w:p w14:paraId="272B5A43" w14:textId="77777777" w:rsidR="00970065" w:rsidRDefault="00970065" w:rsidP="00970065">
      <w:pPr>
        <w:pStyle w:val="ListParagraph"/>
        <w:numPr>
          <w:ilvl w:val="0"/>
          <w:numId w:val="3"/>
        </w:numPr>
        <w:spacing w:after="120"/>
        <w:contextualSpacing w:val="0"/>
      </w:pPr>
      <w:r>
        <w:t xml:space="preserve">Page 561, under the heading “Trial Management Plan,” the second paragraph should be replaced with: </w:t>
      </w:r>
    </w:p>
    <w:p w14:paraId="45328266" w14:textId="77777777" w:rsidR="00970065" w:rsidRDefault="00970065" w:rsidP="00970065">
      <w:pPr>
        <w:pStyle w:val="ListParagraph"/>
        <w:numPr>
          <w:ilvl w:val="1"/>
          <w:numId w:val="3"/>
        </w:numPr>
        <w:spacing w:after="120"/>
        <w:contextualSpacing w:val="0"/>
      </w:pPr>
      <w:r>
        <w:t>“The pre-trial judge or associate judge shall do the following:”</w:t>
      </w:r>
    </w:p>
    <w:p w14:paraId="3DC15686" w14:textId="77777777" w:rsidR="00970065" w:rsidRDefault="00970065" w:rsidP="00970065">
      <w:pPr>
        <w:pStyle w:val="ListParagraph"/>
        <w:numPr>
          <w:ilvl w:val="0"/>
          <w:numId w:val="3"/>
        </w:numPr>
        <w:spacing w:after="120"/>
        <w:contextualSpacing w:val="0"/>
      </w:pPr>
      <w:r>
        <w:t>Page 561, under the heading “Trial Management Plan,” in the bulleted list, remove “and” at the end of the second bullet and add it to the end of the third bullet. Replace period in third bullet with a semicolon. Then add a fourth bullet point reading as follows:</w:t>
      </w:r>
    </w:p>
    <w:p w14:paraId="3D2139DB" w14:textId="77777777" w:rsidR="00970065" w:rsidRDefault="00970065" w:rsidP="00970065">
      <w:pPr>
        <w:pStyle w:val="ListParagraph"/>
        <w:numPr>
          <w:ilvl w:val="1"/>
          <w:numId w:val="4"/>
        </w:numPr>
        <w:spacing w:after="120"/>
        <w:contextualSpacing w:val="0"/>
      </w:pPr>
      <w:r>
        <w:t>“</w:t>
      </w:r>
      <w:proofErr w:type="gramStart"/>
      <w:r>
        <w:t>makes</w:t>
      </w:r>
      <w:proofErr w:type="gramEnd"/>
      <w:r>
        <w:t xml:space="preserve"> any other order they consider necessary or advisable in relation to how the proceeding will be conducted.”</w:t>
      </w:r>
    </w:p>
    <w:p w14:paraId="3EB564F8" w14:textId="77777777" w:rsidR="00970065" w:rsidRDefault="00970065" w:rsidP="00970065">
      <w:pPr>
        <w:pStyle w:val="ListParagraph"/>
        <w:numPr>
          <w:ilvl w:val="0"/>
          <w:numId w:val="4"/>
        </w:numPr>
        <w:spacing w:after="120"/>
        <w:contextualSpacing w:val="0"/>
      </w:pPr>
      <w:r>
        <w:t xml:space="preserve">Page 561, under the heading “Trial Management Plan,” in the seventh paragraph, remove the entire first sentence—"Immediately after the pre-trial conference, the registrar will place the action on the appropriate trial list.” </w:t>
      </w:r>
    </w:p>
    <w:p w14:paraId="4FEF52D6" w14:textId="77777777" w:rsidR="00970065" w:rsidRDefault="00970065" w:rsidP="00970065">
      <w:pPr>
        <w:pStyle w:val="ListParagraph"/>
        <w:numPr>
          <w:ilvl w:val="1"/>
          <w:numId w:val="4"/>
        </w:numPr>
        <w:spacing w:after="120"/>
        <w:contextualSpacing w:val="0"/>
      </w:pPr>
      <w:r>
        <w:t xml:space="preserve">Add the following footnote at the end of the amended paragraph above: </w:t>
      </w:r>
    </w:p>
    <w:p w14:paraId="2B49C64B" w14:textId="77777777" w:rsidR="00970065" w:rsidRDefault="00970065" w:rsidP="00970065">
      <w:pPr>
        <w:pStyle w:val="ListParagraph"/>
        <w:numPr>
          <w:ilvl w:val="2"/>
          <w:numId w:val="4"/>
        </w:numPr>
        <w:spacing w:after="120"/>
        <w:contextualSpacing w:val="0"/>
      </w:pPr>
      <w:r>
        <w:t xml:space="preserve">“Rule 76.11(1) provides that any action set down for simplified trial before March 31, </w:t>
      </w:r>
      <w:proofErr w:type="gramStart"/>
      <w:r>
        <w:t>2022</w:t>
      </w:r>
      <w:proofErr w:type="gramEnd"/>
      <w:r>
        <w:t xml:space="preserve"> continues under the old subrule.” </w:t>
      </w:r>
    </w:p>
    <w:p w14:paraId="7E51BFB7" w14:textId="5E8D3525" w:rsidR="00970065" w:rsidRDefault="00970065" w:rsidP="00970065">
      <w:pPr>
        <w:spacing w:after="120"/>
      </w:pPr>
    </w:p>
    <w:p w14:paraId="2D145BE6" w14:textId="6A881F99" w:rsidR="00944D17" w:rsidRPr="00944D17" w:rsidRDefault="00944D17" w:rsidP="00944D17">
      <w:pPr>
        <w:pStyle w:val="Heading1"/>
      </w:pPr>
      <w:r w:rsidRPr="00944D17">
        <w:t>Bill 118</w:t>
      </w:r>
      <w:r>
        <w:t>:</w:t>
      </w:r>
      <w:r w:rsidRPr="00944D17">
        <w:t xml:space="preserve"> Changes limitation periods for personal injury claims caused by snow or ice.</w:t>
      </w:r>
    </w:p>
    <w:p w14:paraId="51859F7C" w14:textId="77777777" w:rsidR="00944D17" w:rsidRDefault="00944D17" w:rsidP="00970065">
      <w:pPr>
        <w:spacing w:after="120"/>
        <w:rPr>
          <w:b/>
          <w:bCs/>
          <w:i/>
          <w:iCs/>
        </w:rPr>
      </w:pPr>
    </w:p>
    <w:p w14:paraId="0F4403BD" w14:textId="011659F4" w:rsidR="00970065" w:rsidRPr="00993629" w:rsidRDefault="00970065" w:rsidP="00970065">
      <w:pPr>
        <w:spacing w:after="120"/>
        <w:rPr>
          <w:b/>
          <w:bCs/>
          <w:i/>
          <w:iCs/>
        </w:rPr>
      </w:pPr>
      <w:r w:rsidRPr="00D0278A">
        <w:rPr>
          <w:b/>
          <w:bCs/>
          <w:i/>
          <w:iCs/>
        </w:rPr>
        <w:t>Update August 12, 2021</w:t>
      </w:r>
    </w:p>
    <w:p w14:paraId="3F5033FD" w14:textId="77777777" w:rsidR="00970065" w:rsidRDefault="00970065" w:rsidP="00970065">
      <w:pPr>
        <w:spacing w:after="120"/>
      </w:pPr>
      <w:r>
        <w:t xml:space="preserve">The revised 4th edition of </w:t>
      </w:r>
      <w:r w:rsidRPr="00DA1B6A">
        <w:rPr>
          <w:i/>
          <w:iCs/>
        </w:rPr>
        <w:t>Civil Litigation</w:t>
      </w:r>
      <w:r>
        <w:t xml:space="preserve"> covers the updates regarding extensions of the limitation period due to the COVID-19 pandemic. However, there are some other time limits affecting an action that your students should be aware of, which you may wish to raise with them when they are dealing with the subject of limitation periods in Chapter 2, pages 65-66 (“Limitation Periods”).</w:t>
      </w:r>
    </w:p>
    <w:p w14:paraId="02E751F2" w14:textId="77777777" w:rsidR="00970065" w:rsidRDefault="00970065" w:rsidP="00970065">
      <w:pPr>
        <w:spacing w:after="120"/>
      </w:pPr>
      <w:r>
        <w:lastRenderedPageBreak/>
        <w:t>Bill 118, as of January 2021, now requires someone injured in a slip and fall on ice or snow to give notice to the occupier of a potential claim within 60 days. Even if an action would otherwise be within the 2-year limitation period, failure to give notice within 60 days will, with some exceptions, result in the action being statute barred, even though it is otherwise within the 2-year limitation period.</w:t>
      </w:r>
    </w:p>
    <w:p w14:paraId="7F3F6D01" w14:textId="77777777" w:rsidR="00970065" w:rsidRDefault="00970065" w:rsidP="00970065">
      <w:pPr>
        <w:spacing w:after="120"/>
      </w:pPr>
      <w:r>
        <w:t>More detailed information can be found at:</w:t>
      </w:r>
    </w:p>
    <w:p w14:paraId="3F45B321" w14:textId="77777777" w:rsidR="00970065" w:rsidRDefault="00DA1261" w:rsidP="00970065">
      <w:pPr>
        <w:spacing w:after="120"/>
      </w:pPr>
      <w:hyperlink r:id="rId9" w:history="1">
        <w:r w:rsidR="00970065" w:rsidRPr="008E379F">
          <w:rPr>
            <w:rStyle w:val="Hyperlink"/>
          </w:rPr>
          <w:t>https://www.millerthomson.com/en/publications/communiques-and-updates/lloyds-brief-canadian-legal-perspectives/january-7-2021-lloyds/bill-118-changes-to-the-notice-period-for-slip-and-fall-claims-in-ontario/</w:t>
        </w:r>
      </w:hyperlink>
      <w:r w:rsidR="00970065">
        <w:t xml:space="preserve">. </w:t>
      </w:r>
    </w:p>
    <w:p w14:paraId="6A3CAC6C" w14:textId="77777777" w:rsidR="00970065" w:rsidRPr="00970065" w:rsidRDefault="00970065" w:rsidP="00970065">
      <w:pPr>
        <w:spacing w:after="120"/>
      </w:pPr>
    </w:p>
    <w:sectPr w:rsidR="00970065" w:rsidRPr="009700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B84"/>
    <w:multiLevelType w:val="hybridMultilevel"/>
    <w:tmpl w:val="C0949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050B9"/>
    <w:multiLevelType w:val="hybridMultilevel"/>
    <w:tmpl w:val="69DEC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62200"/>
    <w:multiLevelType w:val="hybridMultilevel"/>
    <w:tmpl w:val="DFDA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67CD0"/>
    <w:multiLevelType w:val="hybridMultilevel"/>
    <w:tmpl w:val="00087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63"/>
    <w:rsid w:val="00040C80"/>
    <w:rsid w:val="00044310"/>
    <w:rsid w:val="000F1A99"/>
    <w:rsid w:val="00170B44"/>
    <w:rsid w:val="0019029C"/>
    <w:rsid w:val="00282B1C"/>
    <w:rsid w:val="00367DFF"/>
    <w:rsid w:val="003B5081"/>
    <w:rsid w:val="00523DA1"/>
    <w:rsid w:val="006109D7"/>
    <w:rsid w:val="00667790"/>
    <w:rsid w:val="0089279A"/>
    <w:rsid w:val="0093593F"/>
    <w:rsid w:val="00944D17"/>
    <w:rsid w:val="00970065"/>
    <w:rsid w:val="00993629"/>
    <w:rsid w:val="00A21CCF"/>
    <w:rsid w:val="00A23443"/>
    <w:rsid w:val="00B25050"/>
    <w:rsid w:val="00C23318"/>
    <w:rsid w:val="00C42BFA"/>
    <w:rsid w:val="00DA1261"/>
    <w:rsid w:val="00E85D63"/>
    <w:rsid w:val="00EA58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293747"/>
  <w15:chartTrackingRefBased/>
  <w15:docId w15:val="{0BA94639-9FA3-0946-8644-06AEAE52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D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00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D6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85D63"/>
    <w:pPr>
      <w:ind w:left="720"/>
      <w:contextualSpacing/>
    </w:pPr>
  </w:style>
  <w:style w:type="paragraph" w:styleId="NormalWeb">
    <w:name w:val="Normal (Web)"/>
    <w:basedOn w:val="Normal"/>
    <w:uiPriority w:val="99"/>
    <w:unhideWhenUsed/>
    <w:rsid w:val="00B25050"/>
    <w:pPr>
      <w:spacing w:before="100" w:beforeAutospacing="1" w:after="100" w:afterAutospacing="1"/>
    </w:pPr>
    <w:rPr>
      <w:rFonts w:ascii="Times New Roman" w:eastAsia="Times New Roman" w:hAnsi="Times New Roman" w:cs="Times New Roman"/>
    </w:rPr>
  </w:style>
  <w:style w:type="paragraph" w:customStyle="1" w:styleId="wordsection1">
    <w:name w:val="wordsection1"/>
    <w:basedOn w:val="Normal"/>
    <w:rsid w:val="00970065"/>
    <w:pPr>
      <w:spacing w:before="100" w:beforeAutospacing="1" w:after="100" w:afterAutospacing="1"/>
    </w:pPr>
    <w:rPr>
      <w:rFonts w:ascii="Times New Roman" w:eastAsia="Times New Roman" w:hAnsi="Times New Roman" w:cs="Times New Roman"/>
      <w:lang w:eastAsia="en-CA"/>
    </w:rPr>
  </w:style>
  <w:style w:type="character" w:styleId="Hyperlink">
    <w:name w:val="Hyperlink"/>
    <w:basedOn w:val="DefaultParagraphFont"/>
    <w:uiPriority w:val="99"/>
    <w:unhideWhenUsed/>
    <w:rsid w:val="00970065"/>
    <w:rPr>
      <w:color w:val="0000FF"/>
      <w:u w:val="single"/>
    </w:rPr>
  </w:style>
  <w:style w:type="paragraph" w:styleId="Title">
    <w:name w:val="Title"/>
    <w:basedOn w:val="Normal"/>
    <w:next w:val="Normal"/>
    <w:link w:val="TitleChar"/>
    <w:uiPriority w:val="10"/>
    <w:qFormat/>
    <w:rsid w:val="009700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065"/>
    <w:rPr>
      <w:rFonts w:asciiTheme="majorHAnsi" w:eastAsiaTheme="majorEastAsia" w:hAnsiTheme="majorHAnsi" w:cstheme="majorBidi"/>
      <w:spacing w:val="-10"/>
      <w:kern w:val="28"/>
      <w:sz w:val="56"/>
      <w:szCs w:val="56"/>
    </w:rPr>
  </w:style>
  <w:style w:type="paragraph" w:styleId="NoSpacing">
    <w:name w:val="No Spacing"/>
    <w:uiPriority w:val="1"/>
    <w:qFormat/>
    <w:rsid w:val="00970065"/>
  </w:style>
  <w:style w:type="character" w:customStyle="1" w:styleId="Heading2Char">
    <w:name w:val="Heading 2 Char"/>
    <w:basedOn w:val="DefaultParagraphFont"/>
    <w:link w:val="Heading2"/>
    <w:uiPriority w:val="9"/>
    <w:rsid w:val="009700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1279">
      <w:bodyDiv w:val="1"/>
      <w:marLeft w:val="0"/>
      <w:marRight w:val="0"/>
      <w:marTop w:val="0"/>
      <w:marBottom w:val="0"/>
      <w:divBdr>
        <w:top w:val="none" w:sz="0" w:space="0" w:color="auto"/>
        <w:left w:val="none" w:sz="0" w:space="0" w:color="auto"/>
        <w:bottom w:val="none" w:sz="0" w:space="0" w:color="auto"/>
        <w:right w:val="none" w:sz="0" w:space="0" w:color="auto"/>
      </w:divBdr>
      <w:divsChild>
        <w:div w:id="1221361346">
          <w:marLeft w:val="0"/>
          <w:marRight w:val="0"/>
          <w:marTop w:val="0"/>
          <w:marBottom w:val="0"/>
          <w:divBdr>
            <w:top w:val="none" w:sz="0" w:space="0" w:color="auto"/>
            <w:left w:val="none" w:sz="0" w:space="0" w:color="auto"/>
            <w:bottom w:val="none" w:sz="0" w:space="0" w:color="auto"/>
            <w:right w:val="none" w:sz="0" w:space="0" w:color="auto"/>
          </w:divBdr>
        </w:div>
        <w:div w:id="64762462">
          <w:marLeft w:val="0"/>
          <w:marRight w:val="0"/>
          <w:marTop w:val="0"/>
          <w:marBottom w:val="0"/>
          <w:divBdr>
            <w:top w:val="none" w:sz="0" w:space="0" w:color="auto"/>
            <w:left w:val="none" w:sz="0" w:space="0" w:color="auto"/>
            <w:bottom w:val="none" w:sz="0" w:space="0" w:color="auto"/>
            <w:right w:val="none" w:sz="0" w:space="0" w:color="auto"/>
          </w:divBdr>
        </w:div>
        <w:div w:id="653996586">
          <w:marLeft w:val="0"/>
          <w:marRight w:val="0"/>
          <w:marTop w:val="0"/>
          <w:marBottom w:val="0"/>
          <w:divBdr>
            <w:top w:val="none" w:sz="0" w:space="0" w:color="auto"/>
            <w:left w:val="none" w:sz="0" w:space="0" w:color="auto"/>
            <w:bottom w:val="none" w:sz="0" w:space="0" w:color="auto"/>
            <w:right w:val="none" w:sz="0" w:space="0" w:color="auto"/>
          </w:divBdr>
          <w:divsChild>
            <w:div w:id="1513496052">
              <w:marLeft w:val="0"/>
              <w:marRight w:val="0"/>
              <w:marTop w:val="0"/>
              <w:marBottom w:val="0"/>
              <w:divBdr>
                <w:top w:val="none" w:sz="0" w:space="0" w:color="auto"/>
                <w:left w:val="none" w:sz="0" w:space="0" w:color="auto"/>
                <w:bottom w:val="none" w:sz="0" w:space="0" w:color="auto"/>
                <w:right w:val="none" w:sz="0" w:space="0" w:color="auto"/>
              </w:divBdr>
            </w:div>
            <w:div w:id="457573785">
              <w:marLeft w:val="0"/>
              <w:marRight w:val="0"/>
              <w:marTop w:val="0"/>
              <w:marBottom w:val="0"/>
              <w:divBdr>
                <w:top w:val="none" w:sz="0" w:space="0" w:color="auto"/>
                <w:left w:val="none" w:sz="0" w:space="0" w:color="auto"/>
                <w:bottom w:val="none" w:sz="0" w:space="0" w:color="auto"/>
                <w:right w:val="none" w:sz="0" w:space="0" w:color="auto"/>
              </w:divBdr>
            </w:div>
            <w:div w:id="865411115">
              <w:marLeft w:val="0"/>
              <w:marRight w:val="0"/>
              <w:marTop w:val="0"/>
              <w:marBottom w:val="0"/>
              <w:divBdr>
                <w:top w:val="none" w:sz="0" w:space="0" w:color="auto"/>
                <w:left w:val="none" w:sz="0" w:space="0" w:color="auto"/>
                <w:bottom w:val="none" w:sz="0" w:space="0" w:color="auto"/>
                <w:right w:val="none" w:sz="0" w:space="0" w:color="auto"/>
              </w:divBdr>
              <w:divsChild>
                <w:div w:id="13006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32501">
      <w:bodyDiv w:val="1"/>
      <w:marLeft w:val="0"/>
      <w:marRight w:val="0"/>
      <w:marTop w:val="0"/>
      <w:marBottom w:val="0"/>
      <w:divBdr>
        <w:top w:val="none" w:sz="0" w:space="0" w:color="auto"/>
        <w:left w:val="none" w:sz="0" w:space="0" w:color="auto"/>
        <w:bottom w:val="none" w:sz="0" w:space="0" w:color="auto"/>
        <w:right w:val="none" w:sz="0" w:space="0" w:color="auto"/>
      </w:divBdr>
    </w:div>
    <w:div w:id="1141924884">
      <w:bodyDiv w:val="1"/>
      <w:marLeft w:val="0"/>
      <w:marRight w:val="0"/>
      <w:marTop w:val="0"/>
      <w:marBottom w:val="0"/>
      <w:divBdr>
        <w:top w:val="none" w:sz="0" w:space="0" w:color="auto"/>
        <w:left w:val="none" w:sz="0" w:space="0" w:color="auto"/>
        <w:bottom w:val="none" w:sz="0" w:space="0" w:color="auto"/>
        <w:right w:val="none" w:sz="0" w:space="0" w:color="auto"/>
      </w:divBdr>
    </w:div>
    <w:div w:id="1942688027">
      <w:bodyDiv w:val="1"/>
      <w:marLeft w:val="0"/>
      <w:marRight w:val="0"/>
      <w:marTop w:val="0"/>
      <w:marBottom w:val="0"/>
      <w:divBdr>
        <w:top w:val="none" w:sz="0" w:space="0" w:color="auto"/>
        <w:left w:val="none" w:sz="0" w:space="0" w:color="auto"/>
        <w:bottom w:val="none" w:sz="0" w:space="0" w:color="auto"/>
        <w:right w:val="none" w:sz="0" w:space="0" w:color="auto"/>
      </w:divBdr>
    </w:div>
    <w:div w:id="19739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nada.com/registry/view_posting.jsp;jsessionid=Wnuw3lr4ob29_W6sMi_GsCB" TargetMode="External"/><Relationship Id="rId3" Type="http://schemas.openxmlformats.org/officeDocument/2006/relationships/settings" Target="settings.xml"/><Relationship Id="rId7" Type="http://schemas.openxmlformats.org/officeDocument/2006/relationships/hyperlink" Target="https://www.ontariocanada.com/registry/view.do?language=en&amp;postingId=41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tariocourtforms.on.ca/en/rules-of-civil-procedure-forms/" TargetMode="External"/><Relationship Id="rId11" Type="http://schemas.openxmlformats.org/officeDocument/2006/relationships/theme" Target="theme/theme1.xml"/><Relationship Id="rId5" Type="http://schemas.openxmlformats.org/officeDocument/2006/relationships/hyperlink" Target="https://www.ontariocanada.com/registry/view.do?postingId=43067&amp;language=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llerthomson.com/en/publications/communiques-and-updates/lloyds-brief-canadian-legal-perspectives/january-7-2021-lloyds/bill-118-changes-to-the-notice-period-for-slip-and-fall-claims-in-ont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Berchem</dc:creator>
  <cp:keywords/>
  <dc:description/>
  <cp:lastModifiedBy>Vee Quach</cp:lastModifiedBy>
  <cp:revision>6</cp:revision>
  <dcterms:created xsi:type="dcterms:W3CDTF">2022-01-24T16:35:00Z</dcterms:created>
  <dcterms:modified xsi:type="dcterms:W3CDTF">2023-06-19T14:46:00Z</dcterms:modified>
</cp:coreProperties>
</file>