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B736" w14:textId="77777777" w:rsidR="00C906D6" w:rsidRPr="00C3557E" w:rsidRDefault="00C906D6" w:rsidP="00C3557E">
      <w:pPr>
        <w:spacing w:before="100" w:beforeAutospacing="1" w:after="100" w:afterAutospacing="1" w:line="240" w:lineRule="auto"/>
        <w:rPr>
          <w:rFonts w:eastAsia="Times New Roman" w:cs="Times New Roman"/>
          <w:b/>
          <w:sz w:val="48"/>
          <w:szCs w:val="48"/>
          <w:lang w:val="en-GB" w:eastAsia="en-GB"/>
        </w:rPr>
      </w:pPr>
      <w:r w:rsidRPr="00C3557E">
        <w:rPr>
          <w:rFonts w:eastAsia="Times New Roman" w:cs="Times New Roman"/>
          <w:b/>
          <w:i/>
          <w:sz w:val="48"/>
          <w:szCs w:val="48"/>
          <w:lang w:val="en-GB" w:eastAsia="en-GB"/>
        </w:rPr>
        <w:t xml:space="preserve">Vavilov </w:t>
      </w:r>
      <w:r w:rsidRPr="00C3557E">
        <w:rPr>
          <w:rFonts w:eastAsia="Times New Roman" w:cs="Times New Roman"/>
          <w:b/>
          <w:sz w:val="48"/>
          <w:szCs w:val="48"/>
          <w:lang w:val="en-GB" w:eastAsia="en-GB"/>
        </w:rPr>
        <w:t>Hits the Road</w:t>
      </w:r>
    </w:p>
    <w:p w14:paraId="6B016D47" w14:textId="77777777" w:rsidR="00C906D6" w:rsidRPr="007245E0" w:rsidRDefault="00C906D6" w:rsidP="00C906D6">
      <w:pPr>
        <w:spacing w:before="100" w:beforeAutospacing="1" w:after="100" w:afterAutospacing="1" w:line="240" w:lineRule="auto"/>
        <w:rPr>
          <w:rFonts w:eastAsia="Times New Roman" w:cs="Times New Roman"/>
          <w:b/>
          <w:szCs w:val="24"/>
          <w:lang w:val="en-GB" w:eastAsia="en-GB"/>
        </w:rPr>
      </w:pPr>
      <w:r w:rsidRPr="007245E0">
        <w:rPr>
          <w:rFonts w:eastAsia="Times New Roman" w:cs="Times New Roman"/>
          <w:b/>
          <w:szCs w:val="24"/>
          <w:lang w:val="en-GB" w:eastAsia="en-GB"/>
        </w:rPr>
        <w:t>Paul Daly, University Research Chair in Administrative Law &amp; Governance, University of Ottawa</w:t>
      </w:r>
    </w:p>
    <w:p w14:paraId="30CA34C1" w14:textId="77777777" w:rsidR="007245E0" w:rsidRPr="007245E0" w:rsidRDefault="007245E0" w:rsidP="007245E0">
      <w:pPr>
        <w:pStyle w:val="Heading1"/>
      </w:pPr>
      <w:r w:rsidRPr="007245E0">
        <w:t>Introduction</w:t>
      </w:r>
    </w:p>
    <w:p w14:paraId="5856A29C" w14:textId="0DE090DA"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Courts around Canada are beginning to apply the judicial review </w:t>
      </w:r>
      <w:hyperlink r:id="rId7" w:history="1">
        <w:r w:rsidRPr="007245E0">
          <w:rPr>
            <w:rFonts w:eastAsia="Times New Roman" w:cs="Times New Roman"/>
            <w:szCs w:val="24"/>
            <w:lang w:val="en-GB" w:eastAsia="en-GB"/>
          </w:rPr>
          <w:t>framework</w:t>
        </w:r>
      </w:hyperlink>
      <w:r w:rsidRPr="007245E0">
        <w:rPr>
          <w:rFonts w:eastAsia="Times New Roman" w:cs="Times New Roman"/>
          <w:szCs w:val="24"/>
          <w:lang w:val="en-GB" w:eastAsia="en-GB"/>
        </w:rPr>
        <w:t xml:space="preserve"> set out in </w:t>
      </w:r>
      <w:r w:rsidRPr="007245E0">
        <w:rPr>
          <w:rFonts w:eastAsia="Times New Roman" w:cs="Times New Roman"/>
          <w:i/>
          <w:szCs w:val="24"/>
          <w:lang w:val="en-GB" w:eastAsia="en-GB"/>
        </w:rPr>
        <w:t>Canada (Minister of</w:t>
      </w:r>
      <w:r w:rsidR="00034D3C">
        <w:rPr>
          <w:rFonts w:eastAsia="Times New Roman" w:cs="Times New Roman"/>
          <w:i/>
          <w:szCs w:val="24"/>
          <w:lang w:val="en-GB" w:eastAsia="en-GB"/>
        </w:rPr>
        <w:t xml:space="preserve"> Citizenship and Immigration) v</w:t>
      </w:r>
      <w:r w:rsidRPr="007245E0">
        <w:rPr>
          <w:rFonts w:eastAsia="Times New Roman" w:cs="Times New Roman"/>
          <w:i/>
          <w:szCs w:val="24"/>
          <w:lang w:val="en-GB" w:eastAsia="en-GB"/>
        </w:rPr>
        <w:t xml:space="preserve"> Vavilov</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1"/>
      </w:r>
      <w:r w:rsidRPr="007245E0">
        <w:rPr>
          <w:rFonts w:eastAsia="Times New Roman" w:cs="Times New Roman"/>
          <w:szCs w:val="24"/>
          <w:lang w:val="en-GB" w:eastAsia="en-GB"/>
        </w:rPr>
        <w:t xml:space="preserve"> Obviously, it is too early to draw any conclusions. Nonetheless, even at this early stage in the life of </w:t>
      </w:r>
      <w:r w:rsidRPr="007245E0">
        <w:rPr>
          <w:rFonts w:eastAsia="Times New Roman" w:cs="Times New Roman"/>
          <w:i/>
          <w:iCs/>
          <w:szCs w:val="24"/>
          <w:lang w:val="en-GB" w:eastAsia="en-GB"/>
        </w:rPr>
        <w:t xml:space="preserve">Vavilovian </w:t>
      </w:r>
      <w:r w:rsidRPr="007245E0">
        <w:rPr>
          <w:rFonts w:eastAsia="Times New Roman" w:cs="Times New Roman"/>
          <w:szCs w:val="24"/>
          <w:lang w:val="en-GB" w:eastAsia="en-GB"/>
        </w:rPr>
        <w:t>judicial review</w:t>
      </w:r>
      <w:r w:rsidR="000231AE">
        <w:rPr>
          <w:rFonts w:eastAsia="Times New Roman" w:cs="Times New Roman"/>
          <w:szCs w:val="24"/>
          <w:lang w:val="en-GB" w:eastAsia="en-GB"/>
        </w:rPr>
        <w:t>,</w:t>
      </w:r>
      <w:r w:rsidRPr="007245E0">
        <w:rPr>
          <w:rFonts w:eastAsia="Times New Roman" w:cs="Times New Roman"/>
          <w:szCs w:val="24"/>
          <w:lang w:val="en-GB" w:eastAsia="en-GB"/>
        </w:rPr>
        <w:t xml:space="preserve"> there have been some interesting decisions. Elsewhere in this supplement, you can read my comprehensive and critical analysis of t</w:t>
      </w:r>
      <w:r w:rsidR="007245E0" w:rsidRPr="007245E0">
        <w:rPr>
          <w:rFonts w:eastAsia="Times New Roman" w:cs="Times New Roman"/>
          <w:szCs w:val="24"/>
          <w:lang w:val="en-GB" w:eastAsia="en-GB"/>
        </w:rPr>
        <w:t>h</w:t>
      </w:r>
      <w:r w:rsidR="000231AE">
        <w:rPr>
          <w:rFonts w:eastAsia="Times New Roman" w:cs="Times New Roman"/>
          <w:szCs w:val="24"/>
          <w:lang w:val="en-GB" w:eastAsia="en-GB"/>
        </w:rPr>
        <w:t>e framework. In this addition—</w:t>
      </w:r>
      <w:r w:rsidR="007245E0" w:rsidRPr="007245E0">
        <w:rPr>
          <w:rFonts w:eastAsia="Times New Roman" w:cs="Times New Roman"/>
          <w:szCs w:val="24"/>
          <w:lang w:val="en-GB" w:eastAsia="en-GB"/>
        </w:rPr>
        <w:t xml:space="preserve">to be read in conjunction with my analysis of the </w:t>
      </w:r>
      <w:r w:rsidR="007245E0" w:rsidRPr="007245E0">
        <w:rPr>
          <w:rFonts w:eastAsia="Times New Roman" w:cs="Times New Roman"/>
          <w:i/>
          <w:szCs w:val="24"/>
          <w:lang w:val="en-GB" w:eastAsia="en-GB"/>
        </w:rPr>
        <w:t xml:space="preserve">Vavilov </w:t>
      </w:r>
      <w:r w:rsidR="007245E0" w:rsidRPr="007245E0">
        <w:rPr>
          <w:rFonts w:eastAsia="Times New Roman" w:cs="Times New Roman"/>
          <w:szCs w:val="24"/>
          <w:lang w:val="en-GB" w:eastAsia="en-GB"/>
        </w:rPr>
        <w:t>fr</w:t>
      </w:r>
      <w:r w:rsidR="000231AE">
        <w:rPr>
          <w:rFonts w:eastAsia="Times New Roman" w:cs="Times New Roman"/>
          <w:szCs w:val="24"/>
          <w:lang w:val="en-GB" w:eastAsia="en-GB"/>
        </w:rPr>
        <w:t>amework—</w:t>
      </w:r>
      <w:r w:rsidRPr="007245E0">
        <w:rPr>
          <w:rFonts w:eastAsia="Times New Roman" w:cs="Times New Roman"/>
          <w:szCs w:val="24"/>
          <w:lang w:val="en-GB" w:eastAsia="en-GB"/>
        </w:rPr>
        <w:t>I discuss some preliminary issues (Part I), the selection of the standard of review (Part II), the application of the reasonableness standard (Part III)</w:t>
      </w:r>
      <w:r w:rsidR="000231AE">
        <w:rPr>
          <w:rFonts w:eastAsia="Times New Roman" w:cs="Times New Roman"/>
          <w:szCs w:val="24"/>
          <w:lang w:val="en-GB" w:eastAsia="en-GB"/>
        </w:rPr>
        <w:t>,</w:t>
      </w:r>
      <w:r w:rsidRPr="007245E0">
        <w:rPr>
          <w:rFonts w:eastAsia="Times New Roman" w:cs="Times New Roman"/>
          <w:szCs w:val="24"/>
          <w:lang w:val="en-GB" w:eastAsia="en-GB"/>
        </w:rPr>
        <w:t xml:space="preserve"> and remedial discretion (Part IV).</w:t>
      </w:r>
      <w:r w:rsidR="007245E0" w:rsidRPr="007245E0">
        <w:rPr>
          <w:rFonts w:eastAsia="Times New Roman" w:cs="Times New Roman"/>
          <w:szCs w:val="24"/>
          <w:lang w:val="en-GB" w:eastAsia="en-GB"/>
        </w:rPr>
        <w:t xml:space="preserve"> </w:t>
      </w:r>
    </w:p>
    <w:p w14:paraId="0EA913FD" w14:textId="77777777" w:rsidR="00C906D6" w:rsidRPr="007245E0" w:rsidRDefault="00C906D6" w:rsidP="00C906D6">
      <w:pPr>
        <w:pStyle w:val="Heading1"/>
        <w:numPr>
          <w:ilvl w:val="0"/>
          <w:numId w:val="1"/>
        </w:numPr>
      </w:pPr>
      <w:r w:rsidRPr="007245E0">
        <w:t>Preliminary Issues</w:t>
      </w:r>
    </w:p>
    <w:p w14:paraId="0770982C" w14:textId="57AE49F3"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An issue </w:t>
      </w:r>
      <w:r w:rsidR="000231AE">
        <w:rPr>
          <w:rFonts w:eastAsia="Times New Roman" w:cs="Times New Roman"/>
          <w:szCs w:val="24"/>
          <w:lang w:val="en-GB" w:eastAsia="en-GB"/>
        </w:rPr>
        <w:t>that</w:t>
      </w:r>
      <w:r w:rsidRPr="007245E0">
        <w:rPr>
          <w:rFonts w:eastAsia="Times New Roman" w:cs="Times New Roman"/>
          <w:szCs w:val="24"/>
          <w:lang w:val="en-GB" w:eastAsia="en-GB"/>
        </w:rPr>
        <w:t xml:space="preserve"> emerged early in 2020 is whether cases argued before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was handed down should be reargued before being disposed of.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as the Supreme Court made clear, is the </w:t>
      </w:r>
      <w:r w:rsidR="001B3AC6">
        <w:rPr>
          <w:rFonts w:eastAsia="Times New Roman" w:cs="Times New Roman"/>
          <w:szCs w:val="24"/>
          <w:lang w:val="en-GB" w:eastAsia="en-GB"/>
        </w:rPr>
        <w:t>“</w:t>
      </w:r>
      <w:r w:rsidRPr="007245E0">
        <w:rPr>
          <w:rFonts w:eastAsia="Times New Roman" w:cs="Times New Roman"/>
          <w:szCs w:val="24"/>
          <w:lang w:val="en-GB" w:eastAsia="en-GB"/>
        </w:rPr>
        <w:t>big bang</w:t>
      </w:r>
      <w:r w:rsidR="001B3AC6">
        <w:rPr>
          <w:rFonts w:eastAsia="Times New Roman" w:cs="Times New Roman"/>
          <w:szCs w:val="24"/>
          <w:lang w:val="en-GB" w:eastAsia="en-GB"/>
        </w:rPr>
        <w:t>”</w:t>
      </w:r>
      <w:r w:rsidRPr="007245E0">
        <w:rPr>
          <w:rFonts w:eastAsia="Times New Roman" w:cs="Times New Roman"/>
          <w:szCs w:val="24"/>
          <w:lang w:val="en-GB" w:eastAsia="en-GB"/>
        </w:rPr>
        <w:t xml:space="preserve"> and now provides the starting point for any administrative law analysis.</w:t>
      </w:r>
      <w:r w:rsidRPr="007245E0">
        <w:rPr>
          <w:rStyle w:val="FootnoteReference"/>
          <w:rFonts w:eastAsia="Times New Roman" w:cs="Times New Roman"/>
          <w:szCs w:val="24"/>
          <w:lang w:val="en-GB" w:eastAsia="en-GB"/>
        </w:rPr>
        <w:footnoteReference w:id="2"/>
      </w:r>
      <w:r w:rsidRPr="007245E0">
        <w:rPr>
          <w:rFonts w:eastAsia="Times New Roman" w:cs="Times New Roman"/>
          <w:szCs w:val="24"/>
          <w:lang w:val="en-GB" w:eastAsia="en-GB"/>
        </w:rPr>
        <w:t xml:space="preserve"> Sometimes, it will be quite obvious that the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framework changes nothing</w:t>
      </w:r>
      <w:r w:rsidRPr="007245E0">
        <w:rPr>
          <w:rStyle w:val="FootnoteReference"/>
          <w:rFonts w:eastAsia="Times New Roman" w:cs="Times New Roman"/>
          <w:szCs w:val="24"/>
          <w:lang w:val="en-GB" w:eastAsia="en-GB"/>
        </w:rPr>
        <w:footnoteReference w:id="3"/>
      </w:r>
      <w:r w:rsidRPr="007245E0">
        <w:rPr>
          <w:rFonts w:eastAsia="Times New Roman" w:cs="Times New Roman"/>
          <w:szCs w:val="24"/>
          <w:lang w:val="en-GB" w:eastAsia="en-GB"/>
        </w:rPr>
        <w:t xml:space="preserve"> or changes something so clearly that further argument would be pointless.</w:t>
      </w:r>
      <w:r w:rsidRPr="007245E0">
        <w:rPr>
          <w:rStyle w:val="FootnoteReference"/>
          <w:rFonts w:eastAsia="Times New Roman" w:cs="Times New Roman"/>
          <w:szCs w:val="24"/>
          <w:lang w:val="en-GB" w:eastAsia="en-GB"/>
        </w:rPr>
        <w:footnoteReference w:id="4"/>
      </w:r>
      <w:r w:rsidRPr="007245E0">
        <w:rPr>
          <w:rFonts w:eastAsia="Times New Roman" w:cs="Times New Roman"/>
          <w:szCs w:val="24"/>
          <w:lang w:val="en-GB" w:eastAsia="en-GB"/>
        </w:rPr>
        <w:t xml:space="preserve"> If there is doubt, prudence argues in favour of allowing the parties to make submissions on the consequences of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And courts have mostly been prudent. </w:t>
      </w:r>
    </w:p>
    <w:p w14:paraId="058A7980" w14:textId="3B8EE743"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Several months into the roll-out of the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framework, however, with some cases argued prior to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still being decided, it is jarring to see matters decided without further submissions on the effect of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5"/>
      </w:r>
      <w:r w:rsidRPr="007245E0">
        <w:rPr>
          <w:rFonts w:eastAsia="Times New Roman" w:cs="Times New Roman"/>
          <w:szCs w:val="24"/>
          <w:lang w:val="en-GB" w:eastAsia="en-GB"/>
        </w:rPr>
        <w:t xml:space="preserve"> Given the increasing body of case law (discussed further below in Part III) suggestive of a more demanding standard of reasonableness, parties really should be allowed to make additional submissions on how </w:t>
      </w:r>
      <w:r w:rsidRPr="007245E0">
        <w:rPr>
          <w:rFonts w:eastAsia="Times New Roman" w:cs="Times New Roman"/>
          <w:i/>
          <w:iCs/>
          <w:szCs w:val="24"/>
          <w:lang w:val="en-GB" w:eastAsia="en-GB"/>
        </w:rPr>
        <w:t xml:space="preserve">Vavilovian </w:t>
      </w:r>
      <w:r w:rsidRPr="007245E0">
        <w:rPr>
          <w:rFonts w:eastAsia="Times New Roman" w:cs="Times New Roman"/>
          <w:szCs w:val="24"/>
          <w:lang w:val="en-GB" w:eastAsia="en-GB"/>
        </w:rPr>
        <w:t>reasonableness review should be applied in their case.</w:t>
      </w:r>
      <w:r w:rsidRPr="007245E0">
        <w:rPr>
          <w:rStyle w:val="FootnoteReference"/>
          <w:rFonts w:eastAsia="Times New Roman" w:cs="Times New Roman"/>
          <w:szCs w:val="24"/>
          <w:lang w:val="en-GB" w:eastAsia="en-GB"/>
        </w:rPr>
        <w:footnoteReference w:id="6"/>
      </w:r>
      <w:r w:rsidRPr="007245E0">
        <w:rPr>
          <w:rFonts w:eastAsia="Times New Roman" w:cs="Times New Roman"/>
          <w:szCs w:val="24"/>
          <w:lang w:val="en-GB" w:eastAsia="en-GB"/>
        </w:rPr>
        <w:t xml:space="preserve"> This point applies with more force to applicants than respondents. Applicants might be prejudiced by a failure to apply an exacting reasonableness standard</w:t>
      </w:r>
      <w:r w:rsidR="00D57CD3">
        <w:rPr>
          <w:rFonts w:eastAsia="Times New Roman" w:cs="Times New Roman"/>
          <w:szCs w:val="24"/>
          <w:lang w:val="en-GB" w:eastAsia="en-GB"/>
        </w:rPr>
        <w:t>,</w:t>
      </w:r>
      <w:r w:rsidRPr="007245E0">
        <w:rPr>
          <w:rFonts w:eastAsia="Times New Roman" w:cs="Times New Roman"/>
          <w:szCs w:val="24"/>
          <w:lang w:val="en-GB" w:eastAsia="en-GB"/>
        </w:rPr>
        <w:t xml:space="preserve"> whereas respondents are unlikely to reframe their arguments in response to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(and, of course, cannot rewrite their decisions). Accordingly, where a judge is going to strike a decision down anyway, as in </w:t>
      </w:r>
      <w:r w:rsidRPr="007245E0">
        <w:rPr>
          <w:rFonts w:eastAsia="Times New Roman" w:cs="Times New Roman"/>
          <w:i/>
          <w:iCs/>
          <w:szCs w:val="24"/>
          <w:lang w:val="en-GB" w:eastAsia="en-GB"/>
        </w:rPr>
        <w:t xml:space="preserve">Yavari </w:t>
      </w:r>
      <w:r w:rsidR="00856C75">
        <w:rPr>
          <w:rFonts w:eastAsia="Times New Roman" w:cs="Times New Roman"/>
          <w:i/>
          <w:iCs/>
          <w:szCs w:val="24"/>
          <w:lang w:val="en-GB" w:eastAsia="en-GB"/>
        </w:rPr>
        <w:t>v</w:t>
      </w:r>
      <w:r w:rsidRPr="007245E0">
        <w:rPr>
          <w:rFonts w:eastAsia="Times New Roman" w:cs="Times New Roman"/>
          <w:i/>
          <w:iCs/>
          <w:szCs w:val="24"/>
          <w:lang w:val="en-GB" w:eastAsia="en-GB"/>
        </w:rPr>
        <w:t xml:space="preserve"> Canada (Public Safety and Emergency Preparedness)</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7"/>
      </w:r>
      <w:r w:rsidRPr="007245E0">
        <w:rPr>
          <w:rFonts w:eastAsia="Times New Roman" w:cs="Times New Roman"/>
          <w:szCs w:val="24"/>
          <w:lang w:val="en-GB" w:eastAsia="en-GB"/>
        </w:rPr>
        <w:t xml:space="preserve"> there is comparatively little unfairness. But my view is that the better course </w:t>
      </w:r>
      <w:r w:rsidRPr="007245E0">
        <w:rPr>
          <w:rFonts w:eastAsia="Times New Roman" w:cs="Times New Roman"/>
          <w:szCs w:val="24"/>
          <w:lang w:val="en-GB" w:eastAsia="en-GB"/>
        </w:rPr>
        <w:lastRenderedPageBreak/>
        <w:t>of action is to request submissions on reasonableness review for any outstanding matter where the oral a</w:t>
      </w:r>
      <w:r w:rsidR="00FA2193">
        <w:rPr>
          <w:rFonts w:eastAsia="Times New Roman" w:cs="Times New Roman"/>
          <w:szCs w:val="24"/>
          <w:lang w:val="en-GB" w:eastAsia="en-GB"/>
        </w:rPr>
        <w:t>nd written submissions pre-date</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w:t>
      </w:r>
    </w:p>
    <w:p w14:paraId="2C63C8BE" w14:textId="737C9A95"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Consider, moreover, the decision of the Ontario Divisional Court in </w:t>
      </w:r>
      <w:hyperlink r:id="rId8" w:history="1">
        <w:r w:rsidRPr="007245E0">
          <w:rPr>
            <w:rFonts w:eastAsia="Times New Roman" w:cs="Times New Roman"/>
            <w:i/>
            <w:iCs/>
            <w:szCs w:val="24"/>
            <w:lang w:val="en-GB" w:eastAsia="en-GB"/>
          </w:rPr>
          <w:t xml:space="preserve">Zhou </w:t>
        </w:r>
        <w:r w:rsidR="00856C75">
          <w:rPr>
            <w:rFonts w:eastAsia="Times New Roman" w:cs="Times New Roman"/>
            <w:i/>
            <w:iCs/>
            <w:szCs w:val="24"/>
            <w:lang w:val="en-GB" w:eastAsia="en-GB"/>
          </w:rPr>
          <w:t>v</w:t>
        </w:r>
        <w:r w:rsidRPr="007245E0">
          <w:rPr>
            <w:rFonts w:eastAsia="Times New Roman" w:cs="Times New Roman"/>
            <w:i/>
            <w:iCs/>
            <w:szCs w:val="24"/>
            <w:lang w:val="en-GB" w:eastAsia="en-GB"/>
          </w:rPr>
          <w:t xml:space="preserve"> Cherishome Living</w:t>
        </w:r>
      </w:hyperlink>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8"/>
      </w:r>
      <w:r w:rsidRPr="007245E0">
        <w:rPr>
          <w:rFonts w:eastAsia="Times New Roman" w:cs="Times New Roman"/>
          <w:szCs w:val="24"/>
          <w:lang w:val="en-GB" w:eastAsia="en-GB"/>
        </w:rPr>
        <w:t xml:space="preserve"> This was an appeal from the Landlord and Tenant Board under s. 210 of the provincial </w:t>
      </w:r>
      <w:r w:rsidRPr="007245E0">
        <w:rPr>
          <w:rFonts w:eastAsia="Times New Roman" w:cs="Times New Roman"/>
          <w:i/>
          <w:iCs/>
          <w:szCs w:val="24"/>
          <w:lang w:val="en-GB" w:eastAsia="en-GB"/>
        </w:rPr>
        <w:t>Residential Tenancies Act</w:t>
      </w:r>
      <w:r w:rsidRPr="007245E0">
        <w:rPr>
          <w:rFonts w:eastAsia="Times New Roman" w:cs="Times New Roman"/>
          <w:szCs w:val="24"/>
          <w:lang w:val="en-GB" w:eastAsia="en-GB"/>
        </w:rPr>
        <w:t>. Appeals are available on questions of law only. The panel concluded that it was “not appropriate”</w:t>
      </w:r>
      <w:r w:rsidRPr="007245E0">
        <w:rPr>
          <w:rStyle w:val="FootnoteReference"/>
          <w:rFonts w:eastAsia="Times New Roman" w:cs="Times New Roman"/>
          <w:szCs w:val="24"/>
          <w:lang w:val="en-GB" w:eastAsia="en-GB"/>
        </w:rPr>
        <w:footnoteReference w:id="9"/>
      </w:r>
      <w:r w:rsidRPr="007245E0">
        <w:rPr>
          <w:rFonts w:eastAsia="Times New Roman" w:cs="Times New Roman"/>
          <w:szCs w:val="24"/>
          <w:lang w:val="en-GB" w:eastAsia="en-GB"/>
        </w:rPr>
        <w:t xml:space="preserve"> to request additional submissions on the consequences of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Yet the effect of the panel’s application of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was that one of the</w:t>
      </w:r>
      <w:r w:rsidR="00FA2193">
        <w:rPr>
          <w:rFonts w:eastAsia="Times New Roman" w:cs="Times New Roman"/>
          <w:szCs w:val="24"/>
          <w:lang w:val="en-GB" w:eastAsia="en-GB"/>
        </w:rPr>
        <w:t xml:space="preserve"> issues raised by the tenants—who were self represented—</w:t>
      </w:r>
      <w:r w:rsidRPr="007245E0">
        <w:rPr>
          <w:rFonts w:eastAsia="Times New Roman" w:cs="Times New Roman"/>
          <w:szCs w:val="24"/>
          <w:lang w:val="en-GB" w:eastAsia="en-GB"/>
        </w:rPr>
        <w:t>was one of mixed fact and law and thus “not appealable</w:t>
      </w:r>
      <w:r w:rsidR="00FA2193">
        <w:rPr>
          <w:rFonts w:eastAsia="Times New Roman" w:cs="Times New Roman"/>
          <w:szCs w:val="24"/>
          <w:lang w:val="en-GB" w:eastAsia="en-GB"/>
        </w:rPr>
        <w:t>.</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10"/>
      </w:r>
      <w:r w:rsidRPr="007245E0">
        <w:rPr>
          <w:rFonts w:eastAsia="Times New Roman" w:cs="Times New Roman"/>
          <w:szCs w:val="24"/>
          <w:lang w:val="en-GB" w:eastAsia="en-GB"/>
        </w:rPr>
        <w:t xml:space="preserve"> But it was made clear in </w:t>
      </w:r>
      <w:r w:rsidRPr="007245E0">
        <w:rPr>
          <w:rFonts w:eastAsia="Times New Roman" w:cs="Times New Roman"/>
          <w:i/>
          <w:iCs/>
          <w:szCs w:val="24"/>
          <w:lang w:val="en-GB" w:eastAsia="en-GB"/>
        </w:rPr>
        <w:t xml:space="preserve">Vavilov </w:t>
      </w:r>
      <w:r w:rsidR="00FA2193">
        <w:rPr>
          <w:rFonts w:eastAsia="Times New Roman" w:cs="Times New Roman"/>
          <w:szCs w:val="24"/>
          <w:lang w:val="en-GB" w:eastAsia="en-GB"/>
        </w:rPr>
        <w:t>that appeal clauses that</w:t>
      </w:r>
      <w:r w:rsidRPr="007245E0">
        <w:rPr>
          <w:rFonts w:eastAsia="Times New Roman" w:cs="Times New Roman"/>
          <w:szCs w:val="24"/>
          <w:lang w:val="en-GB" w:eastAsia="en-GB"/>
        </w:rPr>
        <w:t xml:space="preserve"> do not cover all of the issues in dispute do not preclude unhappy appellants from bringing judicial review proceedings in respect of the other issues.</w:t>
      </w:r>
      <w:r w:rsidRPr="007245E0">
        <w:rPr>
          <w:rStyle w:val="FootnoteReference"/>
          <w:rFonts w:eastAsia="Times New Roman" w:cs="Times New Roman"/>
          <w:szCs w:val="24"/>
          <w:lang w:val="en-GB" w:eastAsia="en-GB"/>
        </w:rPr>
        <w:footnoteReference w:id="11"/>
      </w:r>
      <w:r w:rsidRPr="007245E0">
        <w:rPr>
          <w:rFonts w:eastAsia="Times New Roman" w:cs="Times New Roman"/>
          <w:szCs w:val="24"/>
          <w:lang w:val="en-GB" w:eastAsia="en-GB"/>
        </w:rPr>
        <w:t xml:space="preserve"> Post-</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the appellants could have commenced judicial review proceedings in parallel to their appeal (indeed, unless and until there is further clarification of this point, I think wise counsel will generally advise clients to do so). That is not to say that a court would ultimately have allowed a judicial review application to proceed (not least because the litigation between the parties has been ongoing for many years), just that it would have been more prudent at least to ask the appellants if they had something to say.</w:t>
      </w:r>
      <w:r w:rsidRPr="007245E0">
        <w:rPr>
          <w:rStyle w:val="FootnoteReference"/>
          <w:rFonts w:eastAsia="Times New Roman" w:cs="Times New Roman"/>
          <w:szCs w:val="24"/>
          <w:lang w:val="en-GB" w:eastAsia="en-GB"/>
        </w:rPr>
        <w:footnoteReference w:id="12"/>
      </w:r>
      <w:r w:rsidRPr="007245E0">
        <w:rPr>
          <w:rFonts w:eastAsia="Times New Roman" w:cs="Times New Roman"/>
          <w:szCs w:val="24"/>
          <w:lang w:val="en-GB" w:eastAsia="en-GB"/>
        </w:rPr>
        <w:t xml:space="preserve"> </w:t>
      </w:r>
    </w:p>
    <w:p w14:paraId="0B18DF11" w14:textId="77777777" w:rsidR="00C906D6" w:rsidRPr="007245E0" w:rsidRDefault="00C906D6" w:rsidP="00C906D6">
      <w:pPr>
        <w:pStyle w:val="Heading1"/>
        <w:numPr>
          <w:ilvl w:val="0"/>
          <w:numId w:val="1"/>
        </w:numPr>
      </w:pPr>
      <w:r w:rsidRPr="007245E0">
        <w:t>Selecting the Standard of Review</w:t>
      </w:r>
    </w:p>
    <w:p w14:paraId="543251F0" w14:textId="77777777" w:rsidR="00C906D6" w:rsidRPr="00195300" w:rsidRDefault="00C906D6" w:rsidP="00C906D6">
      <w:pPr>
        <w:pStyle w:val="Heading2"/>
        <w:rPr>
          <w:rFonts w:eastAsia="Times New Roman"/>
          <w:b/>
          <w:u w:val="none"/>
          <w:lang w:val="en-GB" w:eastAsia="en-GB"/>
        </w:rPr>
      </w:pPr>
      <w:r w:rsidRPr="00195300">
        <w:rPr>
          <w:rFonts w:eastAsia="Times New Roman"/>
          <w:b/>
          <w:u w:val="none"/>
          <w:lang w:val="en-GB" w:eastAsia="en-GB"/>
        </w:rPr>
        <w:t>Correctness Categories</w:t>
      </w:r>
    </w:p>
    <w:p w14:paraId="297E37F6" w14:textId="4E5AE751"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There have been a couple of divergent opinions on the </w:t>
      </w:r>
      <w:r w:rsidRPr="007245E0">
        <w:rPr>
          <w:rFonts w:eastAsia="Times New Roman" w:cs="Times New Roman"/>
          <w:bCs/>
          <w:szCs w:val="24"/>
          <w:lang w:val="en-GB" w:eastAsia="en-GB"/>
        </w:rPr>
        <w:t>scope</w:t>
      </w:r>
      <w:r w:rsidRPr="007245E0">
        <w:rPr>
          <w:rFonts w:eastAsia="Times New Roman" w:cs="Times New Roman"/>
          <w:b/>
          <w:bCs/>
          <w:szCs w:val="24"/>
          <w:lang w:val="en-GB" w:eastAsia="en-GB"/>
        </w:rPr>
        <w:t xml:space="preserve"> </w:t>
      </w:r>
      <w:r w:rsidRPr="007245E0">
        <w:rPr>
          <w:rFonts w:eastAsia="Times New Roman" w:cs="Times New Roman"/>
          <w:szCs w:val="24"/>
          <w:lang w:val="en-GB" w:eastAsia="en-GB"/>
        </w:rPr>
        <w:t>of the correctness categories. The first post-</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decision, </w:t>
      </w:r>
      <w:r w:rsidRPr="007245E0">
        <w:rPr>
          <w:rFonts w:eastAsia="Times New Roman" w:cs="Times New Roman"/>
          <w:i/>
          <w:iCs/>
          <w:szCs w:val="24"/>
          <w:lang w:val="en-GB" w:eastAsia="en-GB"/>
        </w:rPr>
        <w:t xml:space="preserve">Peter </w:t>
      </w:r>
      <w:r w:rsidR="00856C75">
        <w:rPr>
          <w:rFonts w:eastAsia="Times New Roman" w:cs="Times New Roman"/>
          <w:i/>
          <w:iCs/>
          <w:szCs w:val="24"/>
          <w:lang w:val="en-GB" w:eastAsia="en-GB"/>
        </w:rPr>
        <w:t>v</w:t>
      </w:r>
      <w:r w:rsidRPr="007245E0">
        <w:rPr>
          <w:rFonts w:eastAsia="Times New Roman" w:cs="Times New Roman"/>
          <w:i/>
          <w:iCs/>
          <w:szCs w:val="24"/>
          <w:lang w:val="en-GB" w:eastAsia="en-GB"/>
        </w:rPr>
        <w:t xml:space="preserve"> Public Health Appeal Board of Alberta</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13"/>
      </w:r>
      <w:r w:rsidRPr="007245E0">
        <w:rPr>
          <w:rFonts w:eastAsia="Times New Roman" w:cs="Times New Roman"/>
          <w:szCs w:val="24"/>
          <w:lang w:val="en-GB" w:eastAsia="en-GB"/>
        </w:rPr>
        <w:t xml:space="preserve"> embraced correctness review on constitutional issues. By contrast, in </w:t>
      </w:r>
      <w:hyperlink r:id="rId9" w:history="1">
        <w:r w:rsidRPr="007245E0">
          <w:rPr>
            <w:rFonts w:eastAsia="Times New Roman" w:cs="Times New Roman"/>
            <w:i/>
            <w:iCs/>
            <w:szCs w:val="24"/>
            <w:lang w:val="en-GB" w:eastAsia="en-GB"/>
          </w:rPr>
          <w:t>Syndicat des employé(e)s de l’école Vanguard ltée (CSN)</w:t>
        </w:r>
        <w:r w:rsidR="00FB0A84">
          <w:rPr>
            <w:rFonts w:eastAsia="Times New Roman" w:cs="Times New Roman"/>
            <w:i/>
            <w:iCs/>
            <w:szCs w:val="24"/>
            <w:lang w:val="en-GB" w:eastAsia="en-GB"/>
          </w:rPr>
          <w:t xml:space="preserve"> c</w:t>
        </w:r>
        <w:r w:rsidRPr="007245E0">
          <w:rPr>
            <w:rFonts w:eastAsia="Times New Roman" w:cs="Times New Roman"/>
            <w:i/>
            <w:iCs/>
            <w:szCs w:val="24"/>
            <w:lang w:val="en-GB" w:eastAsia="en-GB"/>
          </w:rPr>
          <w:t xml:space="preserve"> Mercier</w:t>
        </w:r>
      </w:hyperlink>
      <w:r w:rsidRPr="007245E0">
        <w:rPr>
          <w:rFonts w:eastAsia="Times New Roman" w:cs="Times New Roman"/>
          <w:szCs w:val="24"/>
          <w:lang w:val="en-GB" w:eastAsia="en-GB"/>
        </w:rPr>
        <w:t xml:space="preserve">, St-Pierre J applied the reasonableness standard even in the face of an argument based on the quasi-constitutional Quebec </w:t>
      </w:r>
      <w:r w:rsidRPr="007245E0">
        <w:rPr>
          <w:rFonts w:eastAsia="Times New Roman" w:cs="Times New Roman"/>
          <w:i/>
          <w:iCs/>
          <w:szCs w:val="24"/>
          <w:lang w:val="en-GB" w:eastAsia="en-GB"/>
        </w:rPr>
        <w:t>Charter</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14"/>
      </w:r>
      <w:r w:rsidRPr="007245E0">
        <w:rPr>
          <w:rFonts w:eastAsia="Times New Roman" w:cs="Times New Roman"/>
          <w:szCs w:val="24"/>
          <w:lang w:val="en-GB" w:eastAsia="en-GB"/>
        </w:rPr>
        <w:t xml:space="preserve"> This is, obviously, an area to watch, though I think St-Pierre J’s position is more persuasive given the narrow conceptual basis provided for the correctness categories in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15"/>
      </w:r>
      <w:r w:rsidRPr="007245E0">
        <w:rPr>
          <w:rFonts w:eastAsia="Times New Roman" w:cs="Times New Roman"/>
          <w:szCs w:val="24"/>
          <w:lang w:val="en-GB" w:eastAsia="en-GB"/>
        </w:rPr>
        <w:t xml:space="preserve"> St-Pierre J applied correctness in </w:t>
      </w:r>
      <w:r w:rsidRPr="007245E0">
        <w:rPr>
          <w:rFonts w:eastAsia="Times New Roman" w:cs="Times New Roman"/>
          <w:i/>
          <w:iCs/>
          <w:szCs w:val="24"/>
          <w:lang w:val="en-GB" w:eastAsia="en-GB"/>
        </w:rPr>
        <w:t>Régie de l’assurance maladie du Québec</w:t>
      </w:r>
      <w:r w:rsidR="00FB0A84">
        <w:rPr>
          <w:rFonts w:eastAsia="Times New Roman" w:cs="Times New Roman"/>
          <w:i/>
          <w:iCs/>
          <w:szCs w:val="24"/>
          <w:lang w:val="en-GB" w:eastAsia="en-GB"/>
        </w:rPr>
        <w:t xml:space="preserve"> c</w:t>
      </w:r>
      <w:r w:rsidRPr="007245E0">
        <w:rPr>
          <w:rFonts w:eastAsia="Times New Roman" w:cs="Times New Roman"/>
          <w:i/>
          <w:iCs/>
          <w:szCs w:val="24"/>
          <w:lang w:val="en-GB" w:eastAsia="en-GB"/>
        </w:rPr>
        <w:t xml:space="preserve"> Morin</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16"/>
      </w:r>
      <w:r w:rsidRPr="007245E0">
        <w:rPr>
          <w:rFonts w:eastAsia="Times New Roman" w:cs="Times New Roman"/>
          <w:szCs w:val="24"/>
          <w:lang w:val="en-GB" w:eastAsia="en-GB"/>
        </w:rPr>
        <w:t xml:space="preserve"> but this was an uncontroversial example of overlapping jurisdiction, which is a category of quite limited scope.</w:t>
      </w:r>
      <w:r w:rsidRPr="007245E0">
        <w:rPr>
          <w:rStyle w:val="FootnoteReference"/>
          <w:rFonts w:eastAsia="Times New Roman" w:cs="Times New Roman"/>
          <w:szCs w:val="24"/>
          <w:lang w:val="en-GB" w:eastAsia="en-GB"/>
        </w:rPr>
        <w:footnoteReference w:id="17"/>
      </w:r>
      <w:r w:rsidRPr="007245E0">
        <w:rPr>
          <w:rFonts w:eastAsia="Times New Roman" w:cs="Times New Roman"/>
          <w:szCs w:val="24"/>
          <w:lang w:val="en-GB" w:eastAsia="en-GB"/>
        </w:rPr>
        <w:t xml:space="preserve"> </w:t>
      </w:r>
    </w:p>
    <w:p w14:paraId="6A358EB0" w14:textId="77777777"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Of course, direct challenges to the constitutionality of statutes or similarly general norms will continue to attract correctness review,</w:t>
      </w:r>
      <w:r w:rsidRPr="007245E0">
        <w:rPr>
          <w:rStyle w:val="FootnoteReference"/>
          <w:rFonts w:eastAsia="Times New Roman" w:cs="Times New Roman"/>
          <w:szCs w:val="24"/>
          <w:lang w:val="en-GB" w:eastAsia="en-GB"/>
        </w:rPr>
        <w:footnoteReference w:id="18"/>
      </w:r>
      <w:r w:rsidRPr="007245E0">
        <w:rPr>
          <w:rFonts w:eastAsia="Times New Roman" w:cs="Times New Roman"/>
          <w:szCs w:val="24"/>
          <w:lang w:val="en-GB" w:eastAsia="en-GB"/>
        </w:rPr>
        <w:t xml:space="preserve"> as will decisions touching on the borderline between </w:t>
      </w:r>
      <w:r w:rsidRPr="007245E0">
        <w:rPr>
          <w:rFonts w:eastAsia="Times New Roman" w:cs="Times New Roman"/>
          <w:szCs w:val="24"/>
          <w:lang w:val="en-GB" w:eastAsia="en-GB"/>
        </w:rPr>
        <w:lastRenderedPageBreak/>
        <w:t>provincial and federal regulation,</w:t>
      </w:r>
      <w:r w:rsidRPr="007245E0">
        <w:rPr>
          <w:rStyle w:val="FootnoteReference"/>
          <w:rFonts w:eastAsia="Times New Roman" w:cs="Times New Roman"/>
          <w:szCs w:val="24"/>
          <w:lang w:val="en-GB" w:eastAsia="en-GB"/>
        </w:rPr>
        <w:footnoteReference w:id="19"/>
      </w:r>
      <w:r w:rsidRPr="007245E0">
        <w:rPr>
          <w:rFonts w:eastAsia="Times New Roman" w:cs="Times New Roman"/>
          <w:szCs w:val="24"/>
          <w:lang w:val="en-GB" w:eastAsia="en-GB"/>
        </w:rPr>
        <w:t xml:space="preserve"> but like it or not, the </w:t>
      </w:r>
      <w:r w:rsidRPr="007245E0">
        <w:rPr>
          <w:rFonts w:eastAsia="Times New Roman" w:cs="Times New Roman"/>
          <w:i/>
          <w:iCs/>
          <w:szCs w:val="24"/>
          <w:lang w:val="en-GB" w:eastAsia="en-GB"/>
        </w:rPr>
        <w:t xml:space="preserve">Doré </w:t>
      </w:r>
      <w:r w:rsidRPr="007245E0">
        <w:rPr>
          <w:rFonts w:eastAsia="Times New Roman" w:cs="Times New Roman"/>
          <w:szCs w:val="24"/>
          <w:lang w:val="en-GB" w:eastAsia="en-GB"/>
        </w:rPr>
        <w:t>framework</w:t>
      </w:r>
      <w:r w:rsidRPr="007245E0">
        <w:rPr>
          <w:rStyle w:val="FootnoteReference"/>
          <w:rFonts w:eastAsia="Times New Roman" w:cs="Times New Roman"/>
          <w:szCs w:val="24"/>
          <w:lang w:val="en-GB" w:eastAsia="en-GB"/>
        </w:rPr>
        <w:footnoteReference w:id="20"/>
      </w:r>
      <w:r w:rsidRPr="007245E0">
        <w:rPr>
          <w:rFonts w:eastAsia="Times New Roman" w:cs="Times New Roman"/>
          <w:szCs w:val="24"/>
          <w:lang w:val="en-GB" w:eastAsia="en-GB"/>
        </w:rPr>
        <w:t xml:space="preserve"> survived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and has perhaps emerged even stronger. In </w:t>
      </w:r>
      <w:r w:rsidRPr="007245E0">
        <w:rPr>
          <w:rFonts w:eastAsia="Times New Roman" w:cs="Times New Roman"/>
          <w:i/>
          <w:iCs/>
          <w:szCs w:val="24"/>
          <w:lang w:val="en-GB" w:eastAsia="en-GB"/>
        </w:rPr>
        <w:t>Redmond v British Columbia (Forests, Lands, Natural Resource Operations and Rural Development)</w:t>
      </w:r>
      <w:r w:rsidRPr="007245E0">
        <w:rPr>
          <w:rFonts w:eastAsia="Times New Roman" w:cs="Times New Roman"/>
          <w:szCs w:val="24"/>
          <w:lang w:val="en-GB" w:eastAsia="en-GB"/>
        </w:rPr>
        <w:t xml:space="preserve">, Masuhara J relied on the expertise of the decision-maker to justify the application of the </w:t>
      </w:r>
      <w:r w:rsidRPr="007245E0">
        <w:rPr>
          <w:rFonts w:eastAsia="Times New Roman" w:cs="Times New Roman"/>
          <w:i/>
          <w:iCs/>
          <w:szCs w:val="24"/>
          <w:lang w:val="en-GB" w:eastAsia="en-GB"/>
        </w:rPr>
        <w:t xml:space="preserve">Doré </w:t>
      </w:r>
      <w:r w:rsidRPr="007245E0">
        <w:rPr>
          <w:rFonts w:eastAsia="Times New Roman" w:cs="Times New Roman"/>
          <w:szCs w:val="24"/>
          <w:lang w:val="en-GB" w:eastAsia="en-GB"/>
        </w:rPr>
        <w:t>framework.</w:t>
      </w:r>
      <w:r w:rsidRPr="007245E0">
        <w:rPr>
          <w:rStyle w:val="FootnoteReference"/>
          <w:rFonts w:eastAsia="Times New Roman" w:cs="Times New Roman"/>
          <w:szCs w:val="24"/>
          <w:lang w:val="en-GB" w:eastAsia="en-GB"/>
        </w:rPr>
        <w:footnoteReference w:id="21"/>
      </w:r>
      <w:r w:rsidRPr="007245E0">
        <w:rPr>
          <w:rFonts w:eastAsia="Times New Roman" w:cs="Times New Roman"/>
          <w:szCs w:val="24"/>
          <w:lang w:val="en-GB" w:eastAsia="en-GB"/>
        </w:rPr>
        <w:t xml:space="preserve"> Post-</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expertise is not relevant to the selection of the standard of review, but this means the argument for deference is </w:t>
      </w:r>
      <w:r w:rsidRPr="007245E0">
        <w:rPr>
          <w:rFonts w:eastAsia="Times New Roman" w:cs="Times New Roman"/>
          <w:i/>
          <w:iCs/>
          <w:szCs w:val="24"/>
          <w:lang w:val="en-GB" w:eastAsia="en-GB"/>
        </w:rPr>
        <w:t>a fortiori</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teaches that deference applies in all </w:t>
      </w:r>
      <w:r w:rsidRPr="007245E0">
        <w:rPr>
          <w:rFonts w:eastAsia="Times New Roman" w:cs="Times New Roman"/>
          <w:i/>
          <w:iCs/>
          <w:szCs w:val="24"/>
          <w:lang w:val="en-GB" w:eastAsia="en-GB"/>
        </w:rPr>
        <w:t xml:space="preserve">scenarios </w:t>
      </w:r>
      <w:r w:rsidRPr="007245E0">
        <w:rPr>
          <w:rFonts w:eastAsia="Times New Roman" w:cs="Times New Roman"/>
          <w:szCs w:val="24"/>
          <w:lang w:val="en-GB" w:eastAsia="en-GB"/>
        </w:rPr>
        <w:t>unless the rule of law (or legislative intent) requires otherwise</w:t>
      </w:r>
      <w:r w:rsidR="00876209">
        <w:rPr>
          <w:rFonts w:eastAsia="Times New Roman" w:cs="Times New Roman"/>
          <w:szCs w:val="24"/>
          <w:lang w:val="en-GB" w:eastAsia="en-GB"/>
        </w:rPr>
        <w:t>,</w:t>
      </w:r>
      <w:r w:rsidRPr="007245E0">
        <w:rPr>
          <w:rFonts w:eastAsia="Times New Roman" w:cs="Times New Roman"/>
          <w:szCs w:val="24"/>
          <w:lang w:val="en-GB" w:eastAsia="en-GB"/>
        </w:rPr>
        <w:t xml:space="preserve"> which, given the narrow conceptual basis provided for it, will be exceedingly rare.</w:t>
      </w:r>
    </w:p>
    <w:p w14:paraId="23AFEA3A" w14:textId="7D149F52"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The category most apt to be expanded after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is surely the ‘questions of central importance to the legal system’ category. But the narrow rule of law basis for the correctness categories does not provide a solid foundation for such arguments. In </w:t>
      </w:r>
      <w:r w:rsidRPr="007245E0">
        <w:rPr>
          <w:rFonts w:eastAsia="Times New Roman" w:cs="Times New Roman"/>
          <w:i/>
          <w:iCs/>
          <w:szCs w:val="24"/>
          <w:lang w:val="en-GB" w:eastAsia="en-GB"/>
        </w:rPr>
        <w:t xml:space="preserve">Bank of Montreal </w:t>
      </w:r>
      <w:r w:rsidR="00856C75">
        <w:rPr>
          <w:rFonts w:eastAsia="Times New Roman" w:cs="Times New Roman"/>
          <w:i/>
          <w:iCs/>
          <w:szCs w:val="24"/>
          <w:lang w:val="en-GB" w:eastAsia="en-GB"/>
        </w:rPr>
        <w:t>v</w:t>
      </w:r>
      <w:r w:rsidRPr="007245E0">
        <w:rPr>
          <w:rFonts w:eastAsia="Times New Roman" w:cs="Times New Roman"/>
          <w:i/>
          <w:iCs/>
          <w:szCs w:val="24"/>
          <w:lang w:val="en-GB" w:eastAsia="en-GB"/>
        </w:rPr>
        <w:t xml:space="preserve"> Li</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22"/>
      </w:r>
      <w:r w:rsidRPr="007245E0">
        <w:rPr>
          <w:rFonts w:eastAsia="Times New Roman" w:cs="Times New Roman"/>
          <w:szCs w:val="24"/>
          <w:lang w:val="en-GB" w:eastAsia="en-GB"/>
        </w:rPr>
        <w:t xml:space="preserve"> for example, the issue was whether an employee who had signed a release on conclusion of her employment could nonetheless make an unjust dismissal claim. An adjudicator held she </w:t>
      </w:r>
      <w:proofErr w:type="gramStart"/>
      <w:r w:rsidRPr="007245E0">
        <w:rPr>
          <w:rFonts w:eastAsia="Times New Roman" w:cs="Times New Roman"/>
          <w:szCs w:val="24"/>
          <w:lang w:val="en-GB" w:eastAsia="en-GB"/>
        </w:rPr>
        <w:t>could</w:t>
      </w:r>
      <w:proofErr w:type="gramEnd"/>
      <w:r w:rsidRPr="007245E0">
        <w:rPr>
          <w:rFonts w:eastAsia="Times New Roman" w:cs="Times New Roman"/>
          <w:szCs w:val="24"/>
          <w:lang w:val="en-GB" w:eastAsia="en-GB"/>
        </w:rPr>
        <w:t xml:space="preserve"> and, on judicial review, the company sought to persuade the courts to apply correctness review on the basis that the issue of whether an individual can waive a statutory entitlement is a general one requiring definitive judicial resolution. De Montigny JA was not persuaded, concluding that the waiver issue would not have systemic or constitutional implications and noting that “framing an issue in a general or abstract sense is not sufficient to make it a question of central importance to the legal system as a whole</w:t>
      </w:r>
      <w:r w:rsidR="00876209">
        <w:rPr>
          <w:rFonts w:eastAsia="Times New Roman" w:cs="Times New Roman"/>
          <w:szCs w:val="24"/>
          <w:lang w:val="en-GB" w:eastAsia="en-GB"/>
        </w:rPr>
        <w:t>.</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23"/>
      </w:r>
      <w:r w:rsidRPr="007245E0">
        <w:rPr>
          <w:rFonts w:eastAsia="Times New Roman" w:cs="Times New Roman"/>
          <w:szCs w:val="24"/>
          <w:lang w:val="en-GB" w:eastAsia="en-GB"/>
        </w:rPr>
        <w:t xml:space="preserve"> The question of privilege in </w:t>
      </w:r>
      <w:r w:rsidRPr="007245E0">
        <w:rPr>
          <w:rFonts w:eastAsia="Times New Roman" w:cs="Times New Roman"/>
          <w:i/>
          <w:iCs/>
          <w:szCs w:val="24"/>
          <w:lang w:val="en-GB" w:eastAsia="en-GB"/>
        </w:rPr>
        <w:t xml:space="preserve">College of Physicians and Surgeons </w:t>
      </w:r>
      <w:r w:rsidR="00856C75">
        <w:rPr>
          <w:rFonts w:eastAsia="Times New Roman" w:cs="Times New Roman"/>
          <w:i/>
          <w:iCs/>
          <w:szCs w:val="24"/>
          <w:lang w:val="en-GB" w:eastAsia="en-GB"/>
        </w:rPr>
        <w:t>v</w:t>
      </w:r>
      <w:r w:rsidRPr="007245E0">
        <w:rPr>
          <w:rFonts w:eastAsia="Times New Roman" w:cs="Times New Roman"/>
          <w:i/>
          <w:iCs/>
          <w:szCs w:val="24"/>
          <w:lang w:val="en-GB" w:eastAsia="en-GB"/>
        </w:rPr>
        <w:t xml:space="preserve"> SJO</w:t>
      </w:r>
      <w:r w:rsidRPr="007245E0">
        <w:rPr>
          <w:rFonts w:eastAsia="Times New Roman" w:cs="Times New Roman"/>
          <w:szCs w:val="24"/>
          <w:lang w:val="en-GB" w:eastAsia="en-GB"/>
        </w:rPr>
        <w:t>, was summarily held to be subject to correctness review,</w:t>
      </w:r>
      <w:r w:rsidRPr="007245E0">
        <w:rPr>
          <w:rStyle w:val="FootnoteReference"/>
          <w:rFonts w:eastAsia="Times New Roman" w:cs="Times New Roman"/>
          <w:szCs w:val="24"/>
          <w:lang w:val="en-GB" w:eastAsia="en-GB"/>
        </w:rPr>
        <w:footnoteReference w:id="24"/>
      </w:r>
      <w:r w:rsidRPr="007245E0">
        <w:rPr>
          <w:rFonts w:eastAsia="Times New Roman" w:cs="Times New Roman"/>
          <w:szCs w:val="24"/>
          <w:lang w:val="en-GB" w:eastAsia="en-GB"/>
        </w:rPr>
        <w:t xml:space="preserve"> but as </w:t>
      </w:r>
      <w:hyperlink r:id="rId10" w:history="1">
        <w:r w:rsidRPr="007245E0">
          <w:rPr>
            <w:rFonts w:eastAsia="Times New Roman" w:cs="Times New Roman"/>
            <w:szCs w:val="24"/>
            <w:lang w:val="en-GB" w:eastAsia="en-GB"/>
          </w:rPr>
          <w:t>Mark Mancini notes</w:t>
        </w:r>
      </w:hyperlink>
      <w:r w:rsidR="00876209">
        <w:rPr>
          <w:rFonts w:eastAsia="Times New Roman" w:cs="Times New Roman"/>
          <w:szCs w:val="24"/>
          <w:lang w:val="en-GB" w:eastAsia="en-GB"/>
        </w:rPr>
        <w:t>,</w:t>
      </w:r>
      <w:r w:rsidRPr="007245E0">
        <w:rPr>
          <w:rFonts w:eastAsia="Times New Roman" w:cs="Times New Roman"/>
          <w:szCs w:val="24"/>
          <w:lang w:val="en-GB" w:eastAsia="en-GB"/>
        </w:rPr>
        <w:t xml:space="preserve"> there is ample precedent in support of this conclusion and it does not suggest that this category has widened post-</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A more curious decision is </w:t>
      </w:r>
      <w:r w:rsidRPr="007245E0">
        <w:rPr>
          <w:rFonts w:eastAsia="Times New Roman" w:cs="Times New Roman"/>
          <w:i/>
          <w:iCs/>
          <w:szCs w:val="24"/>
          <w:lang w:val="en-GB" w:eastAsia="en-GB"/>
        </w:rPr>
        <w:t xml:space="preserve">Low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Nova Scotia Police Complaints Commissioner</w:t>
      </w:r>
      <w:r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25"/>
      </w:r>
      <w:r w:rsidR="00876209">
        <w:rPr>
          <w:rFonts w:eastAsia="Times New Roman" w:cs="Times New Roman"/>
          <w:szCs w:val="24"/>
          <w:lang w:val="en-GB" w:eastAsia="en-GB"/>
        </w:rPr>
        <w:t xml:space="preserve"> in which</w:t>
      </w:r>
      <w:r w:rsidRPr="007245E0">
        <w:rPr>
          <w:rFonts w:eastAsia="Times New Roman" w:cs="Times New Roman"/>
          <w:szCs w:val="24"/>
          <w:lang w:val="en-GB" w:eastAsia="en-GB"/>
        </w:rPr>
        <w:t xml:space="preserve"> the common law doctrine of discoverability was held to apply in the context of police complaints, on what looked quite like a correctness basis</w:t>
      </w:r>
      <w:r w:rsidR="00876209">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26"/>
      </w:r>
      <w:r w:rsidRPr="007245E0">
        <w:rPr>
          <w:rFonts w:eastAsia="Times New Roman" w:cs="Times New Roman"/>
          <w:szCs w:val="24"/>
          <w:lang w:val="en-GB" w:eastAsia="en-GB"/>
        </w:rPr>
        <w:t xml:space="preserve"> </w:t>
      </w:r>
      <w:r w:rsidR="00876209">
        <w:rPr>
          <w:rFonts w:eastAsia="Times New Roman" w:cs="Times New Roman"/>
          <w:szCs w:val="24"/>
          <w:lang w:val="en-GB" w:eastAsia="en-GB"/>
        </w:rPr>
        <w:t>However, the decision did not take into consideration</w:t>
      </w:r>
      <w:r w:rsidRPr="007245E0">
        <w:rPr>
          <w:rFonts w:eastAsia="Times New Roman" w:cs="Times New Roman"/>
          <w:szCs w:val="24"/>
          <w:lang w:val="en-GB" w:eastAsia="en-GB"/>
        </w:rPr>
        <w:t xml:space="preserve"> paras 111-114 of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where the issue of statutory or common law constraints on administrative decision-makers is authoritatively addressed.</w:t>
      </w:r>
    </w:p>
    <w:p w14:paraId="2EB98950" w14:textId="23FC665E" w:rsidR="00896A63" w:rsidRPr="007245E0" w:rsidRDefault="00896A63"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In </w:t>
      </w:r>
      <w:r w:rsidRPr="007245E0">
        <w:rPr>
          <w:rFonts w:eastAsia="Times New Roman" w:cs="Times New Roman"/>
          <w:i/>
          <w:iCs/>
          <w:szCs w:val="24"/>
          <w:lang w:val="en-GB" w:eastAsia="en-GB"/>
        </w:rPr>
        <w:t>Bureau de la sécurité privée</w:t>
      </w:r>
      <w:r w:rsidR="00FB0A84">
        <w:rPr>
          <w:rFonts w:eastAsia="Times New Roman" w:cs="Times New Roman"/>
          <w:i/>
          <w:iCs/>
          <w:szCs w:val="24"/>
          <w:lang w:val="en-GB" w:eastAsia="en-GB"/>
        </w:rPr>
        <w:t xml:space="preserve"> c</w:t>
      </w:r>
      <w:r w:rsidRPr="007245E0">
        <w:rPr>
          <w:rFonts w:eastAsia="Times New Roman" w:cs="Times New Roman"/>
          <w:i/>
          <w:iCs/>
          <w:szCs w:val="24"/>
          <w:lang w:val="en-GB" w:eastAsia="en-GB"/>
        </w:rPr>
        <w:t xml:space="preserve"> Tribunal administratif du Québec</w:t>
      </w:r>
      <w:r w:rsidRPr="007245E0">
        <w:rPr>
          <w:rFonts w:eastAsia="Times New Roman" w:cs="Times New Roman"/>
          <w:szCs w:val="24"/>
          <w:lang w:val="en-GB" w:eastAsia="en-GB"/>
        </w:rPr>
        <w:t>, St-Pierre J was asked to identify a new co</w:t>
      </w:r>
      <w:r w:rsidR="00876209">
        <w:rPr>
          <w:rFonts w:eastAsia="Times New Roman" w:cs="Times New Roman"/>
          <w:szCs w:val="24"/>
          <w:lang w:val="en-GB" w:eastAsia="en-GB"/>
        </w:rPr>
        <w:t>rrectness category but demurred</w:t>
      </w:r>
      <w:r w:rsidRPr="007245E0">
        <w:rPr>
          <w:rFonts w:eastAsia="Times New Roman" w:cs="Times New Roman"/>
          <w:szCs w:val="24"/>
          <w:lang w:val="en-GB" w:eastAsia="en-GB"/>
        </w:rPr>
        <w:t xml:space="preserve"> on the basis that this was a task for the Court of Appeal or Supreme Court;</w:t>
      </w:r>
      <w:r w:rsidRPr="007245E0">
        <w:rPr>
          <w:rStyle w:val="FootnoteReference"/>
          <w:rFonts w:eastAsia="Times New Roman" w:cs="Times New Roman"/>
          <w:szCs w:val="24"/>
          <w:lang w:val="en-GB" w:eastAsia="en-GB"/>
        </w:rPr>
        <w:footnoteReference w:id="27"/>
      </w:r>
      <w:r w:rsidRPr="007245E0">
        <w:rPr>
          <w:rFonts w:eastAsia="Times New Roman" w:cs="Times New Roman"/>
          <w:szCs w:val="24"/>
          <w:lang w:val="en-GB" w:eastAsia="en-GB"/>
        </w:rPr>
        <w:t xml:space="preserve"> I tend to think, however, that it would be perfectly appropriate for a first-instance judge to do this, albeit that here it seems the argument for the applicant was not particularly strong. </w:t>
      </w:r>
    </w:p>
    <w:p w14:paraId="1ED59E87" w14:textId="77777777" w:rsidR="00C906D6" w:rsidRPr="00195300" w:rsidRDefault="00C906D6" w:rsidP="00C906D6">
      <w:pPr>
        <w:pStyle w:val="Heading2"/>
        <w:rPr>
          <w:rFonts w:eastAsia="Times New Roman"/>
          <w:b/>
          <w:u w:val="none"/>
          <w:lang w:val="en-GB" w:eastAsia="en-GB"/>
        </w:rPr>
      </w:pPr>
      <w:r w:rsidRPr="00195300">
        <w:rPr>
          <w:rFonts w:eastAsia="Times New Roman"/>
          <w:b/>
          <w:u w:val="none"/>
          <w:lang w:val="en-GB" w:eastAsia="en-GB"/>
        </w:rPr>
        <w:t xml:space="preserve">Standard of Review of Regulations </w:t>
      </w:r>
    </w:p>
    <w:p w14:paraId="042F5A11" w14:textId="77777777"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One question left unresolved by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was the </w:t>
      </w:r>
      <w:r w:rsidRPr="007245E0">
        <w:rPr>
          <w:rFonts w:eastAsia="Times New Roman" w:cs="Times New Roman"/>
          <w:bCs/>
          <w:szCs w:val="24"/>
          <w:lang w:val="en-GB" w:eastAsia="en-GB"/>
        </w:rPr>
        <w:t>standard of review applicable to regulations</w:t>
      </w:r>
      <w:r w:rsidRPr="007245E0">
        <w:rPr>
          <w:rFonts w:eastAsia="Times New Roman" w:cs="Times New Roman"/>
          <w:szCs w:val="24"/>
          <w:lang w:val="en-GB" w:eastAsia="en-GB"/>
        </w:rPr>
        <w:t xml:space="preserve">. On the one hand, the question of whether a </w:t>
      </w:r>
      <w:proofErr w:type="gramStart"/>
      <w:r w:rsidRPr="007245E0">
        <w:rPr>
          <w:rFonts w:eastAsia="Times New Roman" w:cs="Times New Roman"/>
          <w:szCs w:val="24"/>
          <w:lang w:val="en-GB" w:eastAsia="en-GB"/>
        </w:rPr>
        <w:t>particular regulation</w:t>
      </w:r>
      <w:proofErr w:type="gramEnd"/>
      <w:r w:rsidRPr="007245E0">
        <w:rPr>
          <w:rFonts w:eastAsia="Times New Roman" w:cs="Times New Roman"/>
          <w:szCs w:val="24"/>
          <w:lang w:val="en-GB" w:eastAsia="en-GB"/>
        </w:rPr>
        <w:t xml:space="preserve"> is </w:t>
      </w:r>
      <w:r w:rsidRPr="007245E0">
        <w:rPr>
          <w:rFonts w:eastAsia="Times New Roman" w:cs="Times New Roman"/>
          <w:i/>
          <w:iCs/>
          <w:szCs w:val="24"/>
          <w:lang w:val="en-GB" w:eastAsia="en-GB"/>
        </w:rPr>
        <w:t xml:space="preserve">intra vires </w:t>
      </w:r>
      <w:r w:rsidRPr="007245E0">
        <w:rPr>
          <w:rFonts w:eastAsia="Times New Roman" w:cs="Times New Roman"/>
          <w:szCs w:val="24"/>
          <w:lang w:val="en-GB" w:eastAsia="en-GB"/>
        </w:rPr>
        <w:t xml:space="preserve">its parent statute might be said to require a final, definitive answer from the courts, engaging </w:t>
      </w:r>
      <w:r w:rsidRPr="007245E0">
        <w:rPr>
          <w:rFonts w:eastAsia="Times New Roman" w:cs="Times New Roman"/>
          <w:i/>
          <w:iCs/>
          <w:szCs w:val="24"/>
          <w:lang w:val="en-GB" w:eastAsia="en-GB"/>
        </w:rPr>
        <w:t xml:space="preserve">Vavilov’s </w:t>
      </w:r>
      <w:r w:rsidRPr="007245E0">
        <w:rPr>
          <w:rFonts w:eastAsia="Times New Roman" w:cs="Times New Roman"/>
          <w:szCs w:val="24"/>
          <w:lang w:val="en-GB" w:eastAsia="en-GB"/>
        </w:rPr>
        <w:lastRenderedPageBreak/>
        <w:t>rule-of-law justification for correctness review. On the other hand, reasonableness is the presumptive standard of review</w:t>
      </w:r>
      <w:r w:rsidR="00876209">
        <w:rPr>
          <w:rFonts w:eastAsia="Times New Roman" w:cs="Times New Roman"/>
          <w:szCs w:val="24"/>
          <w:lang w:val="en-GB" w:eastAsia="en-GB"/>
        </w:rPr>
        <w:t>. The</w:t>
      </w:r>
      <w:r w:rsidRPr="007245E0">
        <w:rPr>
          <w:rFonts w:eastAsia="Times New Roman" w:cs="Times New Roman"/>
          <w:szCs w:val="24"/>
          <w:lang w:val="en-GB" w:eastAsia="en-GB"/>
        </w:rPr>
        <w:t xml:space="preserve"> most obvious justification for corr</w:t>
      </w:r>
      <w:r w:rsidR="00876209">
        <w:rPr>
          <w:rFonts w:eastAsia="Times New Roman" w:cs="Times New Roman"/>
          <w:szCs w:val="24"/>
          <w:lang w:val="en-GB" w:eastAsia="en-GB"/>
        </w:rPr>
        <w:t>ectness review of regulations—</w:t>
      </w:r>
      <w:r w:rsidRPr="007245E0">
        <w:rPr>
          <w:rFonts w:eastAsia="Times New Roman" w:cs="Times New Roman"/>
          <w:szCs w:val="24"/>
          <w:lang w:val="en-GB" w:eastAsia="en-GB"/>
        </w:rPr>
        <w:t>tha</w:t>
      </w:r>
      <w:r w:rsidR="00876209">
        <w:rPr>
          <w:rFonts w:eastAsia="Times New Roman" w:cs="Times New Roman"/>
          <w:szCs w:val="24"/>
          <w:lang w:val="en-GB" w:eastAsia="en-GB"/>
        </w:rPr>
        <w:t>t they relate to jurisdiction—</w:t>
      </w:r>
      <w:r w:rsidRPr="007245E0">
        <w:rPr>
          <w:rFonts w:eastAsia="Times New Roman" w:cs="Times New Roman"/>
          <w:szCs w:val="24"/>
          <w:lang w:val="en-GB" w:eastAsia="en-GB"/>
        </w:rPr>
        <w:t xml:space="preserve">was eliminated by </w:t>
      </w:r>
      <w:r w:rsidR="00896A63" w:rsidRPr="007245E0">
        <w:rPr>
          <w:rFonts w:eastAsia="Times New Roman" w:cs="Times New Roman"/>
          <w:i/>
          <w:iCs/>
          <w:szCs w:val="24"/>
          <w:lang w:val="en-GB" w:eastAsia="en-GB"/>
        </w:rPr>
        <w:t>Vavilov</w:t>
      </w:r>
      <w:r w:rsidR="00896A63" w:rsidRPr="007245E0">
        <w:rPr>
          <w:rStyle w:val="FootnoteReference"/>
          <w:rFonts w:eastAsia="Times New Roman" w:cs="Times New Roman"/>
          <w:iCs/>
          <w:szCs w:val="24"/>
          <w:lang w:val="en-GB" w:eastAsia="en-GB"/>
        </w:rPr>
        <w:footnoteReference w:id="28"/>
      </w:r>
      <w:r w:rsidRPr="007245E0">
        <w:rPr>
          <w:rFonts w:eastAsia="Times New Roman" w:cs="Times New Roman"/>
          <w:szCs w:val="24"/>
          <w:lang w:val="en-GB" w:eastAsia="en-GB"/>
        </w:rPr>
        <w:t xml:space="preserve"> and, as Loparco J observed in </w:t>
      </w:r>
      <w:r w:rsidRPr="007245E0">
        <w:rPr>
          <w:rFonts w:eastAsia="Times New Roman" w:cs="Times New Roman"/>
          <w:i/>
          <w:iCs/>
          <w:szCs w:val="24"/>
          <w:lang w:val="en-GB" w:eastAsia="en-GB"/>
        </w:rPr>
        <w:t>Morris v Law Society of Alberta (Trust Safety Committee)</w:t>
      </w:r>
      <w:r w:rsidRPr="007245E0">
        <w:rPr>
          <w:rFonts w:eastAsia="Times New Roman" w:cs="Times New Roman"/>
          <w:szCs w:val="24"/>
          <w:lang w:val="en-GB" w:eastAsia="en-GB"/>
        </w:rPr>
        <w:t xml:space="preserve">, the Supreme Court spoke explicitly to the issue of jurisdiction or </w:t>
      </w:r>
      <w:r w:rsidRPr="007245E0">
        <w:rPr>
          <w:rFonts w:eastAsia="Times New Roman" w:cs="Times New Roman"/>
          <w:i/>
          <w:iCs/>
          <w:szCs w:val="24"/>
          <w:lang w:val="en-GB" w:eastAsia="en-GB"/>
        </w:rPr>
        <w:t xml:space="preserve">vires </w:t>
      </w:r>
      <w:r w:rsidRPr="007245E0">
        <w:rPr>
          <w:rFonts w:eastAsia="Times New Roman" w:cs="Times New Roman"/>
          <w:szCs w:val="24"/>
          <w:lang w:val="en-GB" w:eastAsia="en-GB"/>
        </w:rPr>
        <w:t xml:space="preserve">in </w:t>
      </w:r>
      <w:r w:rsidRPr="00876209">
        <w:rPr>
          <w:rFonts w:eastAsia="Times New Roman" w:cs="Times New Roman"/>
          <w:i/>
          <w:szCs w:val="24"/>
          <w:lang w:val="en-GB" w:eastAsia="en-GB"/>
        </w:rPr>
        <w:t>Vavilov</w:t>
      </w:r>
      <w:r w:rsidRPr="007245E0">
        <w:rPr>
          <w:rFonts w:eastAsia="Times New Roman" w:cs="Times New Roman"/>
          <w:szCs w:val="24"/>
          <w:lang w:val="en-GB" w:eastAsia="en-GB"/>
        </w:rPr>
        <w:t xml:space="preserve">: </w:t>
      </w:r>
    </w:p>
    <w:p w14:paraId="279EFA6C" w14:textId="40934310" w:rsidR="00C906D6" w:rsidRPr="007245E0" w:rsidRDefault="00C906D6" w:rsidP="00896A63">
      <w:pPr>
        <w:spacing w:beforeAutospacing="1" w:after="100" w:afterAutospacing="1" w:line="240" w:lineRule="auto"/>
        <w:ind w:left="720"/>
        <w:rPr>
          <w:rFonts w:eastAsia="Times New Roman" w:cs="Times New Roman"/>
          <w:szCs w:val="24"/>
          <w:lang w:val="en-GB" w:eastAsia="en-GB"/>
        </w:rPr>
      </w:pPr>
      <w:r w:rsidRPr="007245E0">
        <w:rPr>
          <w:rFonts w:eastAsia="Times New Roman" w:cs="Times New Roman"/>
          <w:szCs w:val="24"/>
          <w:lang w:val="en-GB" w:eastAsia="en-GB"/>
        </w:rPr>
        <w:t xml:space="preserve">[T]he Supreme Court concluded that the question of </w:t>
      </w:r>
      <w:proofErr w:type="gramStart"/>
      <w:r w:rsidRPr="007245E0">
        <w:rPr>
          <w:rFonts w:eastAsia="Times New Roman" w:cs="Times New Roman"/>
          <w:szCs w:val="24"/>
          <w:lang w:val="en-GB" w:eastAsia="en-GB"/>
        </w:rPr>
        <w:t>whether or not</w:t>
      </w:r>
      <w:proofErr w:type="gramEnd"/>
      <w:r w:rsidRPr="007245E0">
        <w:rPr>
          <w:rFonts w:eastAsia="Times New Roman" w:cs="Times New Roman"/>
          <w:szCs w:val="24"/>
          <w:lang w:val="en-GB" w:eastAsia="en-GB"/>
        </w:rPr>
        <w:t xml:space="preserve"> a delegated decision-maker should “be free to determine the scope of its own authority [can] be addressed adequately by applying the framework for conducting reasonableness review.” The Court specifically endorsed the use of reasonableness review standard in cases “where the legislature has delegated broad authorit</w:t>
      </w:r>
      <w:r w:rsidR="00987AC7">
        <w:rPr>
          <w:rFonts w:eastAsia="Times New Roman" w:cs="Times New Roman"/>
          <w:szCs w:val="24"/>
          <w:lang w:val="en-GB" w:eastAsia="en-GB"/>
        </w:rPr>
        <w:t>y to an administrative decision-</w:t>
      </w:r>
      <w:r w:rsidRPr="007245E0">
        <w:rPr>
          <w:rFonts w:eastAsia="Times New Roman" w:cs="Times New Roman"/>
          <w:szCs w:val="24"/>
          <w:lang w:val="en-GB" w:eastAsia="en-GB"/>
        </w:rPr>
        <w:t xml:space="preserve">maker that allows the latter to make regulations in pursuit of the objects of its enabling statute”: </w:t>
      </w:r>
      <w:r w:rsidR="00D42C24" w:rsidRPr="00F33F82">
        <w:rPr>
          <w:rFonts w:eastAsia="Times New Roman" w:cs="Times New Roman"/>
          <w:szCs w:val="24"/>
          <w:lang w:val="en-GB" w:eastAsia="en-GB"/>
        </w:rPr>
        <w:t>[</w:t>
      </w:r>
      <w:r w:rsidR="00D42C24">
        <w:rPr>
          <w:rFonts w:eastAsia="Times New Roman" w:cs="Times New Roman"/>
          <w:i/>
          <w:iCs/>
          <w:szCs w:val="24"/>
          <w:lang w:val="en-GB" w:eastAsia="en-GB"/>
        </w:rPr>
        <w:t>Vavilov</w:t>
      </w:r>
      <w:r w:rsidR="00D42C24" w:rsidRPr="00F33F82">
        <w:rPr>
          <w:rFonts w:eastAsia="Times New Roman" w:cs="Times New Roman"/>
          <w:szCs w:val="24"/>
          <w:lang w:val="en-GB" w:eastAsia="en-GB"/>
        </w:rPr>
        <w:t>]</w:t>
      </w:r>
      <w:r w:rsidR="00D42C24" w:rsidRPr="007245E0">
        <w:rPr>
          <w:rFonts w:eastAsia="Times New Roman" w:cs="Times New Roman"/>
          <w:szCs w:val="24"/>
          <w:lang w:val="en-GB" w:eastAsia="en-GB"/>
        </w:rPr>
        <w:t xml:space="preserve"> </w:t>
      </w:r>
      <w:r w:rsidRPr="007245E0">
        <w:rPr>
          <w:rFonts w:eastAsia="Times New Roman" w:cs="Times New Roman"/>
          <w:szCs w:val="24"/>
          <w:lang w:val="en-GB" w:eastAsia="en-GB"/>
        </w:rPr>
        <w:t xml:space="preserve">at para 66, citing </w:t>
      </w:r>
      <w:r w:rsidRPr="007245E0">
        <w:rPr>
          <w:rFonts w:eastAsia="Times New Roman" w:cs="Times New Roman"/>
          <w:b/>
          <w:bCs/>
          <w:i/>
          <w:iCs/>
          <w:szCs w:val="24"/>
          <w:lang w:val="en-GB" w:eastAsia="en-GB"/>
        </w:rPr>
        <w:t>Green v Law Society of Manitoba</w:t>
      </w:r>
      <w:r w:rsidRPr="007245E0">
        <w:rPr>
          <w:rFonts w:eastAsia="Times New Roman" w:cs="Times New Roman"/>
          <w:szCs w:val="24"/>
          <w:lang w:val="en-GB" w:eastAsia="en-GB"/>
        </w:rPr>
        <w:t xml:space="preserve">, 2017 SCC 20, [2017] 1 SCR 360; </w:t>
      </w:r>
      <w:r w:rsidRPr="007245E0">
        <w:rPr>
          <w:rFonts w:eastAsia="Times New Roman" w:cs="Times New Roman"/>
          <w:b/>
          <w:bCs/>
          <w:i/>
          <w:iCs/>
          <w:szCs w:val="24"/>
          <w:lang w:val="en-GB" w:eastAsia="en-GB"/>
        </w:rPr>
        <w:t>West Fraser Mills Ltd v British Columbia (Workers’ Compensation Appeal Tribunal)</w:t>
      </w:r>
      <w:r w:rsidRPr="007245E0">
        <w:rPr>
          <w:rFonts w:eastAsia="Times New Roman" w:cs="Times New Roman"/>
          <w:szCs w:val="24"/>
          <w:lang w:val="en-GB" w:eastAsia="en-GB"/>
        </w:rPr>
        <w:t>, 2018 SCC 22, [2018] 1 SCR 635.</w:t>
      </w:r>
      <w:r w:rsidR="00896A63" w:rsidRPr="007245E0">
        <w:rPr>
          <w:rStyle w:val="FootnoteReference"/>
          <w:rFonts w:eastAsia="Times New Roman" w:cs="Times New Roman"/>
          <w:szCs w:val="24"/>
          <w:lang w:val="en-GB" w:eastAsia="en-GB"/>
        </w:rPr>
        <w:footnoteReference w:id="29"/>
      </w:r>
      <w:r w:rsidRPr="007245E0">
        <w:rPr>
          <w:rFonts w:eastAsia="Times New Roman" w:cs="Times New Roman"/>
          <w:szCs w:val="24"/>
          <w:lang w:val="en-GB" w:eastAsia="en-GB"/>
        </w:rPr>
        <w:t xml:space="preserve"> </w:t>
      </w:r>
    </w:p>
    <w:p w14:paraId="18F9B636" w14:textId="77777777"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Notably, Loparco J applied the reasonableness standard even though the rule at issue touched upon matters relating to solicitor-client privilege (which are subject to correctness review), reasoning that the relevant issue was whether the Law Society had t</w:t>
      </w:r>
      <w:r w:rsidR="00896A63" w:rsidRPr="007245E0">
        <w:rPr>
          <w:rFonts w:eastAsia="Times New Roman" w:cs="Times New Roman"/>
          <w:szCs w:val="24"/>
          <w:lang w:val="en-GB" w:eastAsia="en-GB"/>
        </w:rPr>
        <w:t>he authority to enact the rule</w:t>
      </w:r>
      <w:r w:rsidRPr="007245E0">
        <w:rPr>
          <w:rFonts w:eastAsia="Times New Roman" w:cs="Times New Roman"/>
          <w:szCs w:val="24"/>
          <w:lang w:val="en-GB" w:eastAsia="en-GB"/>
        </w:rPr>
        <w:t>.</w:t>
      </w:r>
      <w:r w:rsidR="00896A63" w:rsidRPr="007245E0">
        <w:rPr>
          <w:rStyle w:val="FootnoteReference"/>
          <w:rFonts w:eastAsia="Times New Roman" w:cs="Times New Roman"/>
          <w:szCs w:val="24"/>
          <w:lang w:val="en-GB" w:eastAsia="en-GB"/>
        </w:rPr>
        <w:footnoteReference w:id="30"/>
      </w:r>
      <w:r w:rsidRPr="007245E0">
        <w:rPr>
          <w:rFonts w:eastAsia="Times New Roman" w:cs="Times New Roman"/>
          <w:szCs w:val="24"/>
          <w:lang w:val="en-GB" w:eastAsia="en-GB"/>
        </w:rPr>
        <w:t xml:space="preserve"> However, s</w:t>
      </w:r>
      <w:r w:rsidR="00896A63" w:rsidRPr="007245E0">
        <w:rPr>
          <w:rFonts w:eastAsia="Times New Roman" w:cs="Times New Roman"/>
          <w:szCs w:val="24"/>
          <w:lang w:val="en-GB" w:eastAsia="en-GB"/>
        </w:rPr>
        <w:t>he arguably muddied the waters</w:t>
      </w:r>
      <w:r w:rsidR="00896A63" w:rsidRPr="007245E0">
        <w:rPr>
          <w:rStyle w:val="FootnoteReference"/>
          <w:rFonts w:eastAsia="Times New Roman" w:cs="Times New Roman"/>
          <w:szCs w:val="24"/>
          <w:lang w:val="en-GB" w:eastAsia="en-GB"/>
        </w:rPr>
        <w:footnoteReference w:id="31"/>
      </w:r>
      <w:r w:rsidRPr="007245E0">
        <w:rPr>
          <w:rFonts w:eastAsia="Times New Roman" w:cs="Times New Roman"/>
          <w:szCs w:val="24"/>
          <w:lang w:val="en-GB" w:eastAsia="en-GB"/>
        </w:rPr>
        <w:t xml:space="preserve"> by reviewing the reasonableness of the Trust Safety Committee’s determination of the reasonableness of the rule (rather than directly assessing the reasonableness </w:t>
      </w:r>
      <w:r w:rsidR="00876209">
        <w:rPr>
          <w:rFonts w:eastAsia="Times New Roman" w:cs="Times New Roman"/>
          <w:szCs w:val="24"/>
          <w:lang w:val="en-GB" w:eastAsia="en-GB"/>
        </w:rPr>
        <w:t>of the rule). She therefore created a double-</w:t>
      </w:r>
      <w:r w:rsidRPr="007245E0">
        <w:rPr>
          <w:rFonts w:eastAsia="Times New Roman" w:cs="Times New Roman"/>
          <w:szCs w:val="24"/>
          <w:lang w:val="en-GB" w:eastAsia="en-GB"/>
        </w:rPr>
        <w:t>deference problem</w:t>
      </w:r>
      <w:r w:rsidR="00896A63" w:rsidRPr="007245E0">
        <w:rPr>
          <w:rStyle w:val="FootnoteReference"/>
          <w:rFonts w:eastAsia="Times New Roman" w:cs="Times New Roman"/>
          <w:szCs w:val="24"/>
          <w:lang w:val="en-GB" w:eastAsia="en-GB"/>
        </w:rPr>
        <w:footnoteReference w:id="32"/>
      </w:r>
      <w:r w:rsidRPr="007245E0">
        <w:rPr>
          <w:rFonts w:eastAsia="Times New Roman" w:cs="Times New Roman"/>
          <w:szCs w:val="24"/>
          <w:lang w:val="en-GB" w:eastAsia="en-GB"/>
        </w:rPr>
        <w:t xml:space="preserve"> and </w:t>
      </w:r>
      <w:r w:rsidR="00876209">
        <w:rPr>
          <w:rFonts w:eastAsia="Times New Roman" w:cs="Times New Roman"/>
          <w:szCs w:val="24"/>
          <w:lang w:val="en-GB" w:eastAsia="en-GB"/>
        </w:rPr>
        <w:t>did not engage</w:t>
      </w:r>
      <w:r w:rsidRPr="007245E0">
        <w:rPr>
          <w:rFonts w:eastAsia="Times New Roman" w:cs="Times New Roman"/>
          <w:szCs w:val="24"/>
          <w:lang w:val="en-GB" w:eastAsia="en-GB"/>
        </w:rPr>
        <w:t xml:space="preserve"> in the robust reasonableness review</w:t>
      </w:r>
      <w:r w:rsidR="00876209">
        <w:rPr>
          <w:rFonts w:eastAsia="Times New Roman" w:cs="Times New Roman"/>
          <w:szCs w:val="24"/>
          <w:lang w:val="en-GB" w:eastAsia="en-GB"/>
        </w:rPr>
        <w:t xml:space="preserve"> that</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envisages when compliance with a decision-maker’s governing statutory scheme is in issue. </w:t>
      </w:r>
    </w:p>
    <w:p w14:paraId="3ECFF934" w14:textId="1B15025F"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There has been disagreement on the issue of whether </w:t>
      </w:r>
      <w:r w:rsidRPr="007245E0">
        <w:rPr>
          <w:rFonts w:eastAsia="Times New Roman" w:cs="Times New Roman"/>
          <w:bCs/>
          <w:szCs w:val="24"/>
          <w:lang w:val="en-GB" w:eastAsia="en-GB"/>
        </w:rPr>
        <w:t>arbitration decisions</w:t>
      </w:r>
      <w:r w:rsidRPr="007245E0">
        <w:rPr>
          <w:rFonts w:eastAsia="Times New Roman" w:cs="Times New Roman"/>
          <w:szCs w:val="24"/>
          <w:lang w:val="en-GB" w:eastAsia="en-GB"/>
        </w:rPr>
        <w:t xml:space="preserve"> are subject to the appellate review framework post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or, as was the case previously, subject to the judic</w:t>
      </w:r>
      <w:r w:rsidR="00896A63" w:rsidRPr="007245E0">
        <w:rPr>
          <w:rFonts w:eastAsia="Times New Roman" w:cs="Times New Roman"/>
          <w:szCs w:val="24"/>
          <w:lang w:val="en-GB" w:eastAsia="en-GB"/>
        </w:rPr>
        <w:t>ial review framework</w:t>
      </w:r>
      <w:r w:rsidRPr="007245E0">
        <w:rPr>
          <w:rFonts w:eastAsia="Times New Roman" w:cs="Times New Roman"/>
          <w:szCs w:val="24"/>
          <w:lang w:val="en-GB" w:eastAsia="en-GB"/>
        </w:rPr>
        <w:t>.</w:t>
      </w:r>
      <w:r w:rsidR="00896A63" w:rsidRPr="007245E0">
        <w:rPr>
          <w:rStyle w:val="FootnoteReference"/>
          <w:rFonts w:eastAsia="Times New Roman" w:cs="Times New Roman"/>
          <w:szCs w:val="24"/>
          <w:lang w:val="en-GB" w:eastAsia="en-GB"/>
        </w:rPr>
        <w:footnoteReference w:id="33"/>
      </w:r>
      <w:r w:rsidRPr="007245E0">
        <w:rPr>
          <w:rFonts w:eastAsia="Times New Roman" w:cs="Times New Roman"/>
          <w:szCs w:val="24"/>
          <w:lang w:val="en-GB" w:eastAsia="en-GB"/>
        </w:rPr>
        <w:t xml:space="preserve"> In </w:t>
      </w:r>
      <w:r w:rsidRPr="007245E0">
        <w:rPr>
          <w:rFonts w:eastAsia="Times New Roman" w:cs="Times New Roman"/>
          <w:i/>
          <w:iCs/>
          <w:szCs w:val="24"/>
          <w:lang w:val="en-GB" w:eastAsia="en-GB"/>
        </w:rPr>
        <w:t xml:space="preserve">Buffalo Point First Nation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Cottage Owners Association</w:t>
      </w:r>
      <w:r w:rsidR="00896A63" w:rsidRPr="007245E0">
        <w:rPr>
          <w:rStyle w:val="FootnoteReference"/>
          <w:rFonts w:eastAsia="Times New Roman" w:cs="Times New Roman"/>
          <w:szCs w:val="24"/>
          <w:lang w:val="en-GB" w:eastAsia="en-GB"/>
        </w:rPr>
        <w:footnoteReference w:id="34"/>
      </w:r>
      <w:r w:rsidRPr="007245E0">
        <w:rPr>
          <w:rFonts w:eastAsia="Times New Roman" w:cs="Times New Roman"/>
          <w:szCs w:val="24"/>
          <w:lang w:val="en-GB" w:eastAsia="en-GB"/>
        </w:rPr>
        <w:t xml:space="preserve"> and </w:t>
      </w:r>
      <w:r w:rsidRPr="007245E0">
        <w:rPr>
          <w:rFonts w:eastAsia="Times New Roman" w:cs="Times New Roman"/>
          <w:i/>
          <w:iCs/>
          <w:szCs w:val="24"/>
          <w:lang w:val="en-GB" w:eastAsia="en-GB"/>
        </w:rPr>
        <w:t xml:space="preserve">Allstate Insurance Company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Her Majesty the Queen</w:t>
      </w:r>
      <w:r w:rsidRPr="007245E0">
        <w:rPr>
          <w:rFonts w:eastAsia="Times New Roman" w:cs="Times New Roman"/>
          <w:szCs w:val="24"/>
          <w:lang w:val="en-GB" w:eastAsia="en-GB"/>
        </w:rPr>
        <w:t>,</w:t>
      </w:r>
      <w:r w:rsidR="00896A63" w:rsidRPr="007245E0">
        <w:rPr>
          <w:rStyle w:val="FootnoteReference"/>
          <w:rFonts w:eastAsia="Times New Roman" w:cs="Times New Roman"/>
          <w:szCs w:val="24"/>
          <w:lang w:val="en-GB" w:eastAsia="en-GB"/>
        </w:rPr>
        <w:footnoteReference w:id="35"/>
      </w:r>
      <w:r w:rsidRPr="007245E0">
        <w:rPr>
          <w:rFonts w:eastAsia="Times New Roman" w:cs="Times New Roman"/>
          <w:szCs w:val="24"/>
          <w:lang w:val="en-GB" w:eastAsia="en-GB"/>
        </w:rPr>
        <w:t xml:space="preserve"> the courts took the view that </w:t>
      </w:r>
      <w:r w:rsidRPr="007245E0">
        <w:rPr>
          <w:rFonts w:eastAsia="Times New Roman" w:cs="Times New Roman"/>
          <w:i/>
          <w:iCs/>
          <w:szCs w:val="24"/>
          <w:lang w:val="en-GB" w:eastAsia="en-GB"/>
        </w:rPr>
        <w:t xml:space="preserve">Sattva </w:t>
      </w:r>
      <w:r w:rsidRPr="007245E0">
        <w:rPr>
          <w:rFonts w:eastAsia="Times New Roman" w:cs="Times New Roman"/>
          <w:szCs w:val="24"/>
          <w:lang w:val="en-GB" w:eastAsia="en-GB"/>
        </w:rPr>
        <w:t xml:space="preserve">has been superseded by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But in </w:t>
      </w:r>
      <w:r w:rsidRPr="007245E0">
        <w:rPr>
          <w:rFonts w:eastAsia="Times New Roman" w:cs="Times New Roman"/>
          <w:i/>
          <w:iCs/>
          <w:szCs w:val="24"/>
          <w:lang w:val="en-GB" w:eastAsia="en-GB"/>
        </w:rPr>
        <w:t>Cove Contracting Ltd v Condominium Corporation No 012 5598 (Ravine Park)</w:t>
      </w:r>
      <w:r w:rsidRPr="007245E0">
        <w:rPr>
          <w:rFonts w:eastAsia="Times New Roman" w:cs="Times New Roman"/>
          <w:szCs w:val="24"/>
          <w:lang w:val="en-GB" w:eastAsia="en-GB"/>
        </w:rPr>
        <w:t xml:space="preserve">, it was held that </w:t>
      </w:r>
      <w:r w:rsidRPr="007245E0">
        <w:rPr>
          <w:rFonts w:eastAsia="Times New Roman" w:cs="Times New Roman"/>
          <w:i/>
          <w:iCs/>
          <w:szCs w:val="24"/>
          <w:lang w:val="en-GB" w:eastAsia="en-GB"/>
        </w:rPr>
        <w:t xml:space="preserve">Sattva </w:t>
      </w:r>
      <w:r w:rsidRPr="007245E0">
        <w:rPr>
          <w:rFonts w:eastAsia="Times New Roman" w:cs="Times New Roman"/>
          <w:szCs w:val="24"/>
          <w:lang w:val="en-GB" w:eastAsia="en-GB"/>
        </w:rPr>
        <w:t>continues to bind.</w:t>
      </w:r>
      <w:r w:rsidR="00896A63" w:rsidRPr="007245E0">
        <w:rPr>
          <w:rStyle w:val="FootnoteReference"/>
          <w:rFonts w:eastAsia="Times New Roman" w:cs="Times New Roman"/>
          <w:szCs w:val="24"/>
          <w:lang w:val="en-GB" w:eastAsia="en-GB"/>
        </w:rPr>
        <w:footnoteReference w:id="36"/>
      </w:r>
      <w:r w:rsidRPr="007245E0">
        <w:rPr>
          <w:rFonts w:eastAsia="Times New Roman" w:cs="Times New Roman"/>
          <w:szCs w:val="24"/>
          <w:lang w:val="en-GB" w:eastAsia="en-GB"/>
        </w:rPr>
        <w:t xml:space="preserve"> Subject, obviously, to the details of the statutory provision in a given jurisdiction, I think the better view must be that the use of the word “appeal” in relation to arbitration decisions now carries with it the appellate review framework (correctness on extricable questions of law, palpable and overriding error for the rest). Hainey J doubted this view in </w:t>
      </w:r>
      <w:r w:rsidRPr="007245E0">
        <w:rPr>
          <w:rFonts w:eastAsia="Times New Roman" w:cs="Times New Roman"/>
          <w:i/>
          <w:iCs/>
          <w:szCs w:val="24"/>
          <w:lang w:val="en-GB" w:eastAsia="en-GB"/>
        </w:rPr>
        <w:t xml:space="preserve">Ontario First Nations (2008) Limited Partnership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Ontario Lottery And Gaming Corporation</w:t>
      </w:r>
      <w:r w:rsidR="00896A63" w:rsidRPr="007245E0">
        <w:rPr>
          <w:rFonts w:eastAsia="Times New Roman" w:cs="Times New Roman"/>
          <w:szCs w:val="24"/>
          <w:lang w:val="en-GB" w:eastAsia="en-GB"/>
        </w:rPr>
        <w:t>,</w:t>
      </w:r>
      <w:r w:rsidRPr="007245E0">
        <w:rPr>
          <w:rFonts w:eastAsia="Times New Roman" w:cs="Times New Roman"/>
          <w:szCs w:val="24"/>
          <w:lang w:val="en-GB" w:eastAsia="en-GB"/>
        </w:rPr>
        <w:t xml:space="preserve"> reasoning that the legislative intent branch of the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framework did not apply because the right of appeal was found in an agreement between the parties, not </w:t>
      </w:r>
      <w:r w:rsidR="00E11DC7">
        <w:rPr>
          <w:rFonts w:eastAsia="Times New Roman" w:cs="Times New Roman"/>
          <w:szCs w:val="24"/>
          <w:lang w:val="en-GB" w:eastAsia="en-GB"/>
        </w:rPr>
        <w:t xml:space="preserve">in </w:t>
      </w:r>
      <w:r w:rsidRPr="007245E0">
        <w:rPr>
          <w:rFonts w:eastAsia="Times New Roman" w:cs="Times New Roman"/>
          <w:szCs w:val="24"/>
          <w:lang w:val="en-GB" w:eastAsia="en-GB"/>
        </w:rPr>
        <w:t>the provincial arbitration statute.</w:t>
      </w:r>
      <w:r w:rsidR="00896A63" w:rsidRPr="007245E0">
        <w:rPr>
          <w:rStyle w:val="FootnoteReference"/>
          <w:rFonts w:eastAsia="Times New Roman" w:cs="Times New Roman"/>
          <w:szCs w:val="24"/>
          <w:lang w:val="en-GB" w:eastAsia="en-GB"/>
        </w:rPr>
        <w:footnoteReference w:id="37"/>
      </w:r>
      <w:r w:rsidRPr="007245E0">
        <w:rPr>
          <w:rFonts w:eastAsia="Times New Roman" w:cs="Times New Roman"/>
          <w:szCs w:val="24"/>
          <w:lang w:val="en-GB" w:eastAsia="en-GB"/>
        </w:rPr>
        <w:t xml:space="preserve"> To </w:t>
      </w:r>
      <w:r w:rsidRPr="007245E0">
        <w:rPr>
          <w:rFonts w:eastAsia="Times New Roman" w:cs="Times New Roman"/>
          <w:szCs w:val="24"/>
          <w:lang w:val="en-GB" w:eastAsia="en-GB"/>
        </w:rPr>
        <w:lastRenderedPageBreak/>
        <w:t xml:space="preserve">my eye, this distinction is far too fine. It is true that s 45 of </w:t>
      </w:r>
      <w:r w:rsidR="00896A63" w:rsidRPr="007245E0">
        <w:rPr>
          <w:rFonts w:eastAsia="Times New Roman" w:cs="Times New Roman"/>
          <w:szCs w:val="24"/>
          <w:lang w:val="en-GB" w:eastAsia="en-GB"/>
        </w:rPr>
        <w:t>Ontario’s</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 xml:space="preserve">Arbitration Act </w:t>
      </w:r>
      <w:r w:rsidRPr="007245E0">
        <w:rPr>
          <w:rFonts w:eastAsia="Times New Roman" w:cs="Times New Roman"/>
          <w:szCs w:val="24"/>
          <w:lang w:val="en-GB" w:eastAsia="en-GB"/>
        </w:rPr>
        <w:t>does not explicitly provide for appeals, but it does draw distinctions between the</w:t>
      </w:r>
      <w:r w:rsidR="00896A63" w:rsidRPr="007245E0">
        <w:rPr>
          <w:rFonts w:eastAsia="Times New Roman" w:cs="Times New Roman"/>
          <w:szCs w:val="24"/>
          <w:lang w:val="en-GB" w:eastAsia="en-GB"/>
        </w:rPr>
        <w:t xml:space="preserve"> treatment of questions of law</w:t>
      </w:r>
      <w:r w:rsidR="00896A63" w:rsidRPr="007245E0">
        <w:rPr>
          <w:rStyle w:val="FootnoteReference"/>
          <w:rFonts w:eastAsia="Times New Roman" w:cs="Times New Roman"/>
          <w:szCs w:val="24"/>
          <w:lang w:val="en-GB" w:eastAsia="en-GB"/>
        </w:rPr>
        <w:footnoteReference w:id="38"/>
      </w:r>
      <w:r w:rsidRPr="007245E0">
        <w:rPr>
          <w:rFonts w:eastAsia="Times New Roman" w:cs="Times New Roman"/>
          <w:szCs w:val="24"/>
          <w:lang w:val="en-GB" w:eastAsia="en-GB"/>
        </w:rPr>
        <w:t xml:space="preserve"> and questions of fact and q</w:t>
      </w:r>
      <w:r w:rsidR="00896A63" w:rsidRPr="007245E0">
        <w:rPr>
          <w:rFonts w:eastAsia="Times New Roman" w:cs="Times New Roman"/>
          <w:szCs w:val="24"/>
          <w:lang w:val="en-GB" w:eastAsia="en-GB"/>
        </w:rPr>
        <w:t>uestions of mixed fact and law</w:t>
      </w:r>
      <w:r w:rsidRPr="007245E0">
        <w:rPr>
          <w:rFonts w:eastAsia="Times New Roman" w:cs="Times New Roman"/>
          <w:szCs w:val="24"/>
          <w:lang w:val="en-GB" w:eastAsia="en-GB"/>
        </w:rPr>
        <w:t>.</w:t>
      </w:r>
      <w:r w:rsidR="00896A63" w:rsidRPr="007245E0">
        <w:rPr>
          <w:rStyle w:val="FootnoteReference"/>
          <w:rFonts w:eastAsia="Times New Roman" w:cs="Times New Roman"/>
          <w:szCs w:val="24"/>
          <w:lang w:val="en-GB" w:eastAsia="en-GB"/>
        </w:rPr>
        <w:footnoteReference w:id="39"/>
      </w:r>
      <w:r w:rsidRPr="007245E0">
        <w:rPr>
          <w:rFonts w:eastAsia="Times New Roman" w:cs="Times New Roman"/>
          <w:szCs w:val="24"/>
          <w:lang w:val="en-GB" w:eastAsia="en-GB"/>
        </w:rPr>
        <w:t xml:space="preserve"> The natural reading, in light of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is that the legislature has proceeded on the basis that the courts will apply the appellate review framework. Whilst no standard of review is specified in the legislation, I do not think this is necessary to engage the legislative intent branch of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where the statute provides for an appeal (it is necessary where the statute purports to set out grounds of review: see the discussion of patent unreasonableness below).</w:t>
      </w:r>
    </w:p>
    <w:p w14:paraId="4B981396" w14:textId="77777777" w:rsidR="00896A63" w:rsidRPr="00195300" w:rsidRDefault="00896A63" w:rsidP="00896A63">
      <w:pPr>
        <w:pStyle w:val="Heading2"/>
        <w:rPr>
          <w:rFonts w:eastAsia="Times New Roman"/>
          <w:b/>
          <w:u w:val="none"/>
          <w:lang w:val="en-GB" w:eastAsia="en-GB"/>
        </w:rPr>
      </w:pPr>
      <w:r w:rsidRPr="00195300">
        <w:rPr>
          <w:rFonts w:eastAsia="Times New Roman"/>
          <w:b/>
          <w:u w:val="none"/>
          <w:lang w:val="en-GB" w:eastAsia="en-GB"/>
        </w:rPr>
        <w:t>Statutory Appeals</w:t>
      </w:r>
    </w:p>
    <w:p w14:paraId="24343736" w14:textId="4C91CF44"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In terms of </w:t>
      </w:r>
      <w:r w:rsidRPr="007245E0">
        <w:rPr>
          <w:rFonts w:eastAsia="Times New Roman" w:cs="Times New Roman"/>
          <w:bCs/>
          <w:szCs w:val="24"/>
          <w:lang w:val="en-GB" w:eastAsia="en-GB"/>
        </w:rPr>
        <w:t>correctness review on statutory appeals</w:t>
      </w:r>
      <w:r w:rsidRPr="007245E0">
        <w:rPr>
          <w:rFonts w:eastAsia="Times New Roman" w:cs="Times New Roman"/>
          <w:szCs w:val="24"/>
          <w:lang w:val="en-GB" w:eastAsia="en-GB"/>
        </w:rPr>
        <w:t xml:space="preserve"> (under the </w:t>
      </w:r>
      <w:r w:rsidRPr="007245E0">
        <w:rPr>
          <w:rFonts w:eastAsia="Times New Roman" w:cs="Times New Roman"/>
          <w:i/>
          <w:iCs/>
          <w:szCs w:val="24"/>
          <w:lang w:val="en-GB" w:eastAsia="en-GB"/>
        </w:rPr>
        <w:t xml:space="preserve">Housen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Nikolaisen </w:t>
      </w:r>
      <w:r w:rsidRPr="007245E0">
        <w:rPr>
          <w:rFonts w:eastAsia="Times New Roman" w:cs="Times New Roman"/>
          <w:szCs w:val="24"/>
          <w:lang w:val="en-GB" w:eastAsia="en-GB"/>
        </w:rPr>
        <w:t>framework), the following comment from Swinton J is notable:</w:t>
      </w:r>
    </w:p>
    <w:p w14:paraId="0236E4AB" w14:textId="745F730C" w:rsidR="00C906D6" w:rsidRPr="007245E0" w:rsidRDefault="00C906D6" w:rsidP="00896A63">
      <w:pPr>
        <w:spacing w:beforeAutospacing="1" w:after="100" w:afterAutospacing="1" w:line="240" w:lineRule="auto"/>
        <w:ind w:left="720"/>
        <w:rPr>
          <w:rFonts w:eastAsia="Times New Roman" w:cs="Times New Roman"/>
          <w:szCs w:val="24"/>
          <w:lang w:val="en-GB" w:eastAsia="en-GB"/>
        </w:rPr>
      </w:pPr>
      <w:r w:rsidRPr="007245E0">
        <w:rPr>
          <w:rFonts w:eastAsia="Times New Roman" w:cs="Times New Roman"/>
          <w:szCs w:val="24"/>
          <w:lang w:val="en-GB" w:eastAsia="en-GB"/>
        </w:rPr>
        <w:t xml:space="preserve">While the Court will ultimately review the interpretation of the Act on a standard of correctness, respect for the specialized function of the Board </w:t>
      </w:r>
      <w:proofErr w:type="gramStart"/>
      <w:r w:rsidRPr="007245E0">
        <w:rPr>
          <w:rFonts w:eastAsia="Times New Roman" w:cs="Times New Roman"/>
          <w:szCs w:val="24"/>
          <w:lang w:val="en-GB" w:eastAsia="en-GB"/>
        </w:rPr>
        <w:t>still remains</w:t>
      </w:r>
      <w:proofErr w:type="gramEnd"/>
      <w:r w:rsidRPr="007245E0">
        <w:rPr>
          <w:rFonts w:eastAsia="Times New Roman" w:cs="Times New Roman"/>
          <w:szCs w:val="24"/>
          <w:lang w:val="en-GB" w:eastAsia="en-GB"/>
        </w:rPr>
        <w:t xml:space="preserve"> important.</w:t>
      </w:r>
      <w:r w:rsidR="002429CA">
        <w:rPr>
          <w:rFonts w:eastAsia="Times New Roman" w:cs="Times New Roman"/>
          <w:szCs w:val="24"/>
          <w:lang w:val="en-GB" w:eastAsia="en-GB"/>
        </w:rPr>
        <w:t xml:space="preserve"> </w:t>
      </w:r>
      <w:r w:rsidRPr="007245E0">
        <w:rPr>
          <w:rFonts w:eastAsia="Times New Roman" w:cs="Times New Roman"/>
          <w:szCs w:val="24"/>
          <w:lang w:val="en-GB" w:eastAsia="en-GB"/>
        </w:rPr>
        <w:t xml:space="preserve">One of the important messages in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is the need for the courts to respect the institutional design chosen by the Legislature when it has established an administrative tribunal (at para. 36).</w:t>
      </w:r>
      <w:r w:rsidR="002429CA">
        <w:rPr>
          <w:rFonts w:eastAsia="Times New Roman" w:cs="Times New Roman"/>
          <w:szCs w:val="24"/>
          <w:lang w:val="en-GB" w:eastAsia="en-GB"/>
        </w:rPr>
        <w:t xml:space="preserve"> </w:t>
      </w:r>
      <w:r w:rsidRPr="007245E0">
        <w:rPr>
          <w:rFonts w:eastAsia="Times New Roman" w:cs="Times New Roman"/>
          <w:szCs w:val="24"/>
          <w:lang w:val="en-GB" w:eastAsia="en-GB"/>
        </w:rPr>
        <w:t>In the present case, the Court would be greatly assisted with its interpretive task if it had the assistance of the Board’s interpretation respecting the words of the Act, the general scheme of the Act and the policy ob</w:t>
      </w:r>
      <w:r w:rsidR="00896A63" w:rsidRPr="007245E0">
        <w:rPr>
          <w:rFonts w:eastAsia="Times New Roman" w:cs="Times New Roman"/>
          <w:szCs w:val="24"/>
          <w:lang w:val="en-GB" w:eastAsia="en-GB"/>
        </w:rPr>
        <w:t>jectives behind the provision.</w:t>
      </w:r>
      <w:r w:rsidR="00896A63" w:rsidRPr="007245E0">
        <w:rPr>
          <w:rStyle w:val="FootnoteReference"/>
          <w:rFonts w:eastAsia="Times New Roman" w:cs="Times New Roman"/>
          <w:szCs w:val="24"/>
          <w:lang w:val="en-GB" w:eastAsia="en-GB"/>
        </w:rPr>
        <w:footnoteReference w:id="40"/>
      </w:r>
    </w:p>
    <w:p w14:paraId="0EEF23A1" w14:textId="12ACB649"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As I suggested in my </w:t>
      </w:r>
      <w:hyperlink r:id="rId11" w:history="1">
        <w:r w:rsidRPr="007245E0">
          <w:rPr>
            <w:rFonts w:eastAsia="Times New Roman" w:cs="Times New Roman"/>
            <w:szCs w:val="24"/>
            <w:lang w:val="en-GB" w:eastAsia="en-GB"/>
          </w:rPr>
          <w:t xml:space="preserve">paper on the </w:t>
        </w:r>
      </w:hyperlink>
      <w:r w:rsidRPr="007245E0">
        <w:rPr>
          <w:rFonts w:eastAsia="Times New Roman" w:cs="Times New Roman"/>
          <w:i/>
          <w:iCs/>
          <w:szCs w:val="24"/>
          <w:lang w:val="en-GB" w:eastAsia="en-GB"/>
        </w:rPr>
        <w:t xml:space="preserve">Vavilov </w:t>
      </w:r>
      <w:hyperlink r:id="rId12" w:history="1">
        <w:r w:rsidRPr="007245E0">
          <w:rPr>
            <w:rFonts w:eastAsia="Times New Roman" w:cs="Times New Roman"/>
            <w:szCs w:val="24"/>
            <w:lang w:val="en-GB" w:eastAsia="en-GB"/>
          </w:rPr>
          <w:t>framework</w:t>
        </w:r>
      </w:hyperlink>
      <w:r w:rsidRPr="007245E0">
        <w:rPr>
          <w:rFonts w:eastAsia="Times New Roman" w:cs="Times New Roman"/>
          <w:szCs w:val="24"/>
          <w:lang w:val="en-GB" w:eastAsia="en-GB"/>
        </w:rPr>
        <w:t xml:space="preserve">, if judges continue to consider and give weight to administrative interpretations of law on statutory appeals, deference might not be dead just yet. That said, in </w:t>
      </w:r>
      <w:r w:rsidRPr="007245E0">
        <w:rPr>
          <w:rFonts w:eastAsia="Times New Roman" w:cs="Times New Roman"/>
          <w:i/>
          <w:iCs/>
          <w:szCs w:val="24"/>
          <w:lang w:val="en-GB" w:eastAsia="en-GB"/>
        </w:rPr>
        <w:t xml:space="preserve">Municipal Property Assessment Corporation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Zarichansky</w:t>
      </w:r>
      <w:r w:rsidR="00896A63" w:rsidRPr="007245E0">
        <w:rPr>
          <w:rFonts w:eastAsia="Times New Roman" w:cs="Times New Roman"/>
          <w:iCs/>
          <w:szCs w:val="24"/>
          <w:lang w:val="en-GB" w:eastAsia="en-GB"/>
        </w:rPr>
        <w:t>,</w:t>
      </w:r>
      <w:r w:rsidR="00896A63" w:rsidRPr="007245E0">
        <w:rPr>
          <w:rStyle w:val="FootnoteReference"/>
          <w:rFonts w:eastAsia="Times New Roman" w:cs="Times New Roman"/>
          <w:iCs/>
          <w:szCs w:val="24"/>
          <w:lang w:val="en-GB" w:eastAsia="en-GB"/>
        </w:rPr>
        <w:footnoteReference w:id="41"/>
      </w:r>
      <w:r w:rsidRPr="007245E0">
        <w:rPr>
          <w:rFonts w:eastAsia="Times New Roman" w:cs="Times New Roman"/>
          <w:szCs w:val="24"/>
          <w:lang w:val="en-GB" w:eastAsia="en-GB"/>
        </w:rPr>
        <w:t xml:space="preserve"> Favreau J did not consider in detail the Ontario Assessment Board’s rationale for taking a pro-ratepayer view in situations where MPAC (which assesses properties in Ontario for the purposes of calculating municipal property taxes) has failed to discharge its burden of proof. Rather, Favreau J insisted (on correctness review) that the Board was bound by the terms of its governing statute: my cursory review of the Board’s jurisprudence suggests, however, that it had provided a reasoned basis for its approach; there is little consideration by Favreau J of whether his approach will create difficulties for the Board, MPAC</w:t>
      </w:r>
      <w:r w:rsidR="00BB3675">
        <w:rPr>
          <w:rFonts w:eastAsia="Times New Roman" w:cs="Times New Roman"/>
          <w:szCs w:val="24"/>
          <w:lang w:val="en-GB" w:eastAsia="en-GB"/>
        </w:rPr>
        <w:t>,</w:t>
      </w:r>
      <w:r w:rsidRPr="007245E0">
        <w:rPr>
          <w:rFonts w:eastAsia="Times New Roman" w:cs="Times New Roman"/>
          <w:szCs w:val="24"/>
          <w:lang w:val="en-GB" w:eastAsia="en-GB"/>
        </w:rPr>
        <w:t xml:space="preserve"> and ratepayers in future cases.</w:t>
      </w:r>
    </w:p>
    <w:p w14:paraId="0736911D" w14:textId="00CD0559"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One other way in which deference might persist on statutory appeals post-</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is in the classification of matters falling within a decision-maker’s expertise as factual questions or m</w:t>
      </w:r>
      <w:r w:rsidR="00896A63" w:rsidRPr="007245E0">
        <w:rPr>
          <w:rFonts w:eastAsia="Times New Roman" w:cs="Times New Roman"/>
          <w:szCs w:val="24"/>
          <w:lang w:val="en-GB" w:eastAsia="en-GB"/>
        </w:rPr>
        <w:t>ixed questions of fact and law</w:t>
      </w:r>
      <w:r w:rsidRPr="007245E0">
        <w:rPr>
          <w:rFonts w:eastAsia="Times New Roman" w:cs="Times New Roman"/>
          <w:szCs w:val="24"/>
          <w:lang w:val="en-GB" w:eastAsia="en-GB"/>
        </w:rPr>
        <w:t>.</w:t>
      </w:r>
      <w:r w:rsidR="00896A63" w:rsidRPr="007245E0">
        <w:rPr>
          <w:rStyle w:val="FootnoteReference"/>
          <w:rFonts w:eastAsia="Times New Roman" w:cs="Times New Roman"/>
          <w:szCs w:val="24"/>
          <w:lang w:val="en-GB" w:eastAsia="en-GB"/>
        </w:rPr>
        <w:footnoteReference w:id="42"/>
      </w:r>
      <w:r w:rsidRPr="007245E0">
        <w:rPr>
          <w:rFonts w:eastAsia="Times New Roman" w:cs="Times New Roman"/>
          <w:szCs w:val="24"/>
          <w:lang w:val="en-GB" w:eastAsia="en-GB"/>
        </w:rPr>
        <w:t xml:space="preserve"> As Watson JA rightly insisted in </w:t>
      </w:r>
      <w:r w:rsidRPr="007245E0">
        <w:rPr>
          <w:rFonts w:eastAsia="Times New Roman" w:cs="Times New Roman"/>
          <w:i/>
          <w:iCs/>
          <w:szCs w:val="24"/>
          <w:lang w:val="en-GB" w:eastAsia="en-GB"/>
        </w:rPr>
        <w:t>Canadian Natural Resources Limited v Elizabeth Métis Settlement</w:t>
      </w:r>
      <w:r w:rsidR="00896A63" w:rsidRPr="007245E0">
        <w:rPr>
          <w:rFonts w:eastAsia="Times New Roman" w:cs="Times New Roman"/>
          <w:szCs w:val="24"/>
          <w:lang w:val="en-GB" w:eastAsia="en-GB"/>
        </w:rPr>
        <w:t xml:space="preserve">, </w:t>
      </w:r>
      <w:r w:rsidRPr="007245E0">
        <w:rPr>
          <w:rFonts w:eastAsia="Times New Roman" w:cs="Times New Roman"/>
          <w:szCs w:val="24"/>
          <w:lang w:val="en-GB" w:eastAsia="en-GB"/>
        </w:rPr>
        <w:t>a question of law must be extricable</w:t>
      </w:r>
      <w:r w:rsidR="00BB3675">
        <w:rPr>
          <w:rFonts w:eastAsia="Times New Roman" w:cs="Times New Roman"/>
          <w:szCs w:val="24"/>
          <w:lang w:val="en-GB" w:eastAsia="en-GB"/>
        </w:rPr>
        <w:t xml:space="preserve"> in order</w:t>
      </w:r>
      <w:r w:rsidRPr="007245E0">
        <w:rPr>
          <w:rFonts w:eastAsia="Times New Roman" w:cs="Times New Roman"/>
          <w:szCs w:val="24"/>
          <w:lang w:val="en-GB" w:eastAsia="en-GB"/>
        </w:rPr>
        <w:t xml:space="preserve"> to be subject to correctness review: “It must go to the defining elements of the relevant legal test and not merely to how the tribunal assesses the evidence before applying the test</w:t>
      </w:r>
      <w:r w:rsidR="00BB3675">
        <w:rPr>
          <w:rFonts w:eastAsia="Times New Roman" w:cs="Times New Roman"/>
          <w:szCs w:val="24"/>
          <w:lang w:val="en-GB" w:eastAsia="en-GB"/>
        </w:rPr>
        <w:t>.”</w:t>
      </w:r>
      <w:r w:rsidR="00896A63" w:rsidRPr="007245E0">
        <w:rPr>
          <w:rStyle w:val="FootnoteReference"/>
          <w:rFonts w:eastAsia="Times New Roman" w:cs="Times New Roman"/>
          <w:szCs w:val="24"/>
          <w:lang w:val="en-GB" w:eastAsia="en-GB"/>
        </w:rPr>
        <w:footnoteReference w:id="43"/>
      </w:r>
      <w:r w:rsidRPr="007245E0">
        <w:rPr>
          <w:rFonts w:eastAsia="Times New Roman" w:cs="Times New Roman"/>
          <w:szCs w:val="24"/>
          <w:lang w:val="en-GB" w:eastAsia="en-GB"/>
        </w:rPr>
        <w:t xml:space="preserve"> Relatedly, in </w:t>
      </w:r>
      <w:r w:rsidRPr="007245E0">
        <w:rPr>
          <w:rFonts w:eastAsia="Times New Roman" w:cs="Times New Roman"/>
          <w:i/>
          <w:iCs/>
          <w:szCs w:val="24"/>
          <w:lang w:val="en-GB" w:eastAsia="en-GB"/>
        </w:rPr>
        <w:t>Yee v Chartered Professional Accountants of Alberta</w:t>
      </w:r>
      <w:r w:rsidR="001B3AC6">
        <w:rPr>
          <w:rFonts w:eastAsia="Times New Roman" w:cs="Times New Roman"/>
          <w:szCs w:val="24"/>
          <w:lang w:val="en-GB" w:eastAsia="en-GB"/>
        </w:rPr>
        <w:t>,</w:t>
      </w:r>
      <w:r w:rsidR="00896A63" w:rsidRPr="007245E0">
        <w:rPr>
          <w:rFonts w:eastAsia="Times New Roman" w:cs="Times New Roman"/>
          <w:szCs w:val="24"/>
          <w:lang w:val="en-GB" w:eastAsia="en-GB"/>
        </w:rPr>
        <w:t xml:space="preserve"> </w:t>
      </w:r>
      <w:r w:rsidR="00BB3675" w:rsidRPr="007245E0">
        <w:rPr>
          <w:rFonts w:eastAsia="Times New Roman" w:cs="Times New Roman"/>
          <w:szCs w:val="24"/>
          <w:lang w:val="en-GB" w:eastAsia="en-GB"/>
        </w:rPr>
        <w:t xml:space="preserve">Slatter JA observed </w:t>
      </w:r>
      <w:r w:rsidRPr="007245E0">
        <w:rPr>
          <w:rFonts w:eastAsia="Times New Roman" w:cs="Times New Roman"/>
          <w:szCs w:val="24"/>
          <w:lang w:val="en-GB" w:eastAsia="en-GB"/>
        </w:rPr>
        <w:t xml:space="preserve">that </w:t>
      </w:r>
      <w:r w:rsidRPr="007245E0">
        <w:rPr>
          <w:rFonts w:eastAsia="Times New Roman" w:cs="Times New Roman"/>
          <w:szCs w:val="24"/>
          <w:lang w:val="en-GB" w:eastAsia="en-GB"/>
        </w:rPr>
        <w:lastRenderedPageBreak/>
        <w:t>“i) the standard of practice the profession expects in any particular case, and ii) whether, on the facts, the professional subject to discipline has met that standard” are questions of mixed fact and law calling for deferential review.</w:t>
      </w:r>
      <w:r w:rsidR="00896A63" w:rsidRPr="007245E0">
        <w:rPr>
          <w:rStyle w:val="FootnoteReference"/>
          <w:rFonts w:eastAsia="Times New Roman" w:cs="Times New Roman"/>
          <w:szCs w:val="24"/>
          <w:lang w:val="en-GB" w:eastAsia="en-GB"/>
        </w:rPr>
        <w:footnoteReference w:id="44"/>
      </w:r>
      <w:r w:rsidRPr="007245E0">
        <w:rPr>
          <w:rFonts w:eastAsia="Times New Roman" w:cs="Times New Roman"/>
          <w:szCs w:val="24"/>
          <w:lang w:val="en-GB" w:eastAsia="en-GB"/>
        </w:rPr>
        <w:t xml:space="preserve"> If so, the scope for appellate oversight of professional disciplinary decisions will be quite limited and the change wrought by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not especially dramatic (albeit that in </w:t>
      </w:r>
      <w:r w:rsidRPr="007245E0">
        <w:rPr>
          <w:rFonts w:eastAsia="Times New Roman" w:cs="Times New Roman"/>
          <w:i/>
          <w:iCs/>
          <w:szCs w:val="24"/>
          <w:lang w:val="en-GB" w:eastAsia="en-GB"/>
        </w:rPr>
        <w:t xml:space="preserve">Yee </w:t>
      </w:r>
      <w:r w:rsidRPr="007245E0">
        <w:rPr>
          <w:rFonts w:eastAsia="Times New Roman" w:cs="Times New Roman"/>
          <w:szCs w:val="24"/>
          <w:lang w:val="en-GB" w:eastAsia="en-GB"/>
        </w:rPr>
        <w:t xml:space="preserve">the appeal was allowed!). It is also worth mentioning the possibility that a right of appeal might be restricted by legislation to a consideration of the reasonableness of a decision, that is, the legislature might specify a standard of review in </w:t>
      </w:r>
      <w:r w:rsidR="00896A63" w:rsidRPr="007245E0">
        <w:rPr>
          <w:rFonts w:eastAsia="Times New Roman" w:cs="Times New Roman"/>
          <w:szCs w:val="24"/>
          <w:lang w:val="en-GB" w:eastAsia="en-GB"/>
        </w:rPr>
        <w:t xml:space="preserve">respect of </w:t>
      </w:r>
      <w:proofErr w:type="gramStart"/>
      <w:r w:rsidR="00896A63" w:rsidRPr="007245E0">
        <w:rPr>
          <w:rFonts w:eastAsia="Times New Roman" w:cs="Times New Roman"/>
          <w:szCs w:val="24"/>
          <w:lang w:val="en-GB" w:eastAsia="en-GB"/>
        </w:rPr>
        <w:t>particular decisions</w:t>
      </w:r>
      <w:proofErr w:type="gramEnd"/>
      <w:r w:rsidRPr="007245E0">
        <w:rPr>
          <w:rFonts w:eastAsia="Times New Roman" w:cs="Times New Roman"/>
          <w:szCs w:val="24"/>
          <w:lang w:val="en-GB" w:eastAsia="en-GB"/>
        </w:rPr>
        <w:t>.</w:t>
      </w:r>
      <w:r w:rsidR="00896A63" w:rsidRPr="007245E0">
        <w:rPr>
          <w:rStyle w:val="FootnoteReference"/>
          <w:rFonts w:eastAsia="Times New Roman" w:cs="Times New Roman"/>
          <w:szCs w:val="24"/>
          <w:lang w:val="en-GB" w:eastAsia="en-GB"/>
        </w:rPr>
        <w:footnoteReference w:id="45"/>
      </w:r>
    </w:p>
    <w:p w14:paraId="5369C3CD" w14:textId="77777777" w:rsidR="00896A63" w:rsidRPr="00195300" w:rsidRDefault="00896A63" w:rsidP="00896A63">
      <w:pPr>
        <w:pStyle w:val="Heading2"/>
        <w:rPr>
          <w:rFonts w:eastAsia="Times New Roman"/>
          <w:b/>
          <w:u w:val="none"/>
          <w:lang w:val="en-GB" w:eastAsia="en-GB"/>
        </w:rPr>
      </w:pPr>
      <w:r w:rsidRPr="00195300">
        <w:rPr>
          <w:rFonts w:eastAsia="Times New Roman"/>
          <w:b/>
          <w:u w:val="none"/>
          <w:lang w:val="en-GB" w:eastAsia="en-GB"/>
        </w:rPr>
        <w:t>Procedural Fairness</w:t>
      </w:r>
    </w:p>
    <w:p w14:paraId="1B896724" w14:textId="2951D25C" w:rsidR="00C906D6" w:rsidRPr="007245E0" w:rsidRDefault="00896A63"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O</w:t>
      </w:r>
      <w:r w:rsidR="00F20EDE">
        <w:rPr>
          <w:rFonts w:eastAsia="Times New Roman" w:cs="Times New Roman"/>
          <w:szCs w:val="24"/>
          <w:lang w:val="en-GB" w:eastAsia="en-GB"/>
        </w:rPr>
        <w:t xml:space="preserve">ne issue that </w:t>
      </w:r>
      <w:r w:rsidR="00C906D6" w:rsidRPr="007245E0">
        <w:rPr>
          <w:rFonts w:eastAsia="Times New Roman" w:cs="Times New Roman"/>
          <w:szCs w:val="24"/>
          <w:lang w:val="en-GB" w:eastAsia="en-GB"/>
        </w:rPr>
        <w:t xml:space="preserve">may crop up from time to time is the scope of </w:t>
      </w:r>
      <w:r w:rsidR="00C906D6" w:rsidRPr="007245E0">
        <w:rPr>
          <w:rFonts w:eastAsia="Times New Roman" w:cs="Times New Roman"/>
          <w:bCs/>
          <w:szCs w:val="24"/>
          <w:lang w:val="en-GB" w:eastAsia="en-GB"/>
        </w:rPr>
        <w:t>procedural fairness</w:t>
      </w:r>
      <w:r w:rsidRPr="007245E0">
        <w:rPr>
          <w:rFonts w:eastAsia="Times New Roman" w:cs="Times New Roman"/>
          <w:szCs w:val="24"/>
          <w:lang w:val="en-GB" w:eastAsia="en-GB"/>
        </w:rPr>
        <w:t>. Procedural fairness issues are, o</w:t>
      </w:r>
      <w:r w:rsidR="00C906D6" w:rsidRPr="007245E0">
        <w:rPr>
          <w:rFonts w:eastAsia="Times New Roman" w:cs="Times New Roman"/>
          <w:szCs w:val="24"/>
          <w:lang w:val="en-GB" w:eastAsia="en-GB"/>
        </w:rPr>
        <w:t xml:space="preserve">f course, not subject to the </w:t>
      </w:r>
      <w:r w:rsidR="00C906D6" w:rsidRPr="007245E0">
        <w:rPr>
          <w:rFonts w:eastAsia="Times New Roman" w:cs="Times New Roman"/>
          <w:i/>
          <w:iCs/>
          <w:szCs w:val="24"/>
          <w:lang w:val="en-GB" w:eastAsia="en-GB"/>
        </w:rPr>
        <w:t xml:space="preserve">Vavilov </w:t>
      </w:r>
      <w:r w:rsidR="00C906D6" w:rsidRPr="007245E0">
        <w:rPr>
          <w:rFonts w:eastAsia="Times New Roman" w:cs="Times New Roman"/>
          <w:szCs w:val="24"/>
          <w:lang w:val="en-GB" w:eastAsia="en-GB"/>
        </w:rPr>
        <w:t>framework.</w:t>
      </w:r>
      <w:r w:rsidRPr="007245E0">
        <w:rPr>
          <w:rFonts w:eastAsia="Times New Roman" w:cs="Times New Roman"/>
          <w:szCs w:val="24"/>
          <w:lang w:val="en-GB" w:eastAsia="en-GB"/>
        </w:rPr>
        <w:t xml:space="preserve"> Nonetheless</w:t>
      </w:r>
      <w:r w:rsidR="00195300">
        <w:rPr>
          <w:rFonts w:eastAsia="Times New Roman" w:cs="Times New Roman"/>
          <w:szCs w:val="24"/>
          <w:lang w:val="en-GB" w:eastAsia="en-GB"/>
        </w:rPr>
        <w:t>, judges will have to make judg</w:t>
      </w:r>
      <w:r w:rsidRPr="007245E0">
        <w:rPr>
          <w:rFonts w:eastAsia="Times New Roman" w:cs="Times New Roman"/>
          <w:szCs w:val="24"/>
          <w:lang w:val="en-GB" w:eastAsia="en-GB"/>
        </w:rPr>
        <w:t xml:space="preserve">ment calls about whether particular issues go to the “merits” (attracting the </w:t>
      </w:r>
      <w:r w:rsidRPr="007245E0">
        <w:rPr>
          <w:rFonts w:eastAsia="Times New Roman" w:cs="Times New Roman"/>
          <w:i/>
          <w:szCs w:val="24"/>
          <w:lang w:val="en-GB" w:eastAsia="en-GB"/>
        </w:rPr>
        <w:t xml:space="preserve">Vavilov </w:t>
      </w:r>
      <w:r w:rsidRPr="007245E0">
        <w:rPr>
          <w:rFonts w:eastAsia="Times New Roman" w:cs="Times New Roman"/>
          <w:szCs w:val="24"/>
          <w:lang w:val="en-GB" w:eastAsia="en-GB"/>
        </w:rPr>
        <w:t>framework</w:t>
      </w:r>
      <w:r w:rsidR="00C664DA" w:rsidRPr="007245E0">
        <w:rPr>
          <w:rFonts w:eastAsia="Times New Roman" w:cs="Times New Roman"/>
          <w:szCs w:val="24"/>
          <w:lang w:val="en-GB" w:eastAsia="en-GB"/>
        </w:rPr>
        <w:t>)</w:t>
      </w:r>
      <w:r w:rsidRPr="007245E0">
        <w:rPr>
          <w:rStyle w:val="FootnoteReference"/>
          <w:rFonts w:eastAsia="Times New Roman" w:cs="Times New Roman"/>
          <w:szCs w:val="24"/>
          <w:lang w:val="en-GB" w:eastAsia="en-GB"/>
        </w:rPr>
        <w:footnoteReference w:id="46"/>
      </w:r>
      <w:r w:rsidR="00C664DA" w:rsidRPr="007245E0">
        <w:rPr>
          <w:rFonts w:eastAsia="Times New Roman" w:cs="Times New Roman"/>
          <w:szCs w:val="24"/>
          <w:lang w:val="en-GB" w:eastAsia="en-GB"/>
        </w:rPr>
        <w:t xml:space="preserve"> to procedure.</w:t>
      </w:r>
      <w:r w:rsidR="00C664DA" w:rsidRPr="007245E0">
        <w:rPr>
          <w:rStyle w:val="FootnoteReference"/>
          <w:rFonts w:eastAsia="Times New Roman" w:cs="Times New Roman"/>
          <w:szCs w:val="24"/>
          <w:lang w:val="en-GB" w:eastAsia="en-GB"/>
        </w:rPr>
        <w:footnoteReference w:id="47"/>
      </w:r>
      <w:r w:rsidR="00C906D6" w:rsidRPr="007245E0">
        <w:rPr>
          <w:rFonts w:eastAsia="Times New Roman" w:cs="Times New Roman"/>
          <w:szCs w:val="24"/>
          <w:lang w:val="en-GB" w:eastAsia="en-GB"/>
        </w:rPr>
        <w:t xml:space="preserve"> In </w:t>
      </w:r>
      <w:r w:rsidR="00C906D6" w:rsidRPr="007245E0">
        <w:rPr>
          <w:rFonts w:eastAsia="Times New Roman" w:cs="Times New Roman"/>
          <w:i/>
          <w:iCs/>
          <w:szCs w:val="24"/>
          <w:lang w:val="en-GB" w:eastAsia="en-GB"/>
        </w:rPr>
        <w:t>Hildebrand v Penticton (City)</w:t>
      </w:r>
      <w:r w:rsidR="00C906D6" w:rsidRPr="007245E0">
        <w:rPr>
          <w:rFonts w:eastAsia="Times New Roman" w:cs="Times New Roman"/>
          <w:szCs w:val="24"/>
          <w:lang w:val="en-GB" w:eastAsia="en-GB"/>
        </w:rPr>
        <w:t xml:space="preserve">, Weatherhill J applied the </w:t>
      </w:r>
      <w:r w:rsidR="00C906D6" w:rsidRPr="007245E0">
        <w:rPr>
          <w:rFonts w:eastAsia="Times New Roman" w:cs="Times New Roman"/>
          <w:i/>
          <w:iCs/>
          <w:szCs w:val="24"/>
          <w:lang w:val="en-GB" w:eastAsia="en-GB"/>
        </w:rPr>
        <w:t xml:space="preserve">Vavilov </w:t>
      </w:r>
      <w:r w:rsidR="00C906D6" w:rsidRPr="007245E0">
        <w:rPr>
          <w:rFonts w:eastAsia="Times New Roman" w:cs="Times New Roman"/>
          <w:szCs w:val="24"/>
          <w:lang w:val="en-GB" w:eastAsia="en-GB"/>
        </w:rPr>
        <w:t>framework to a decision not to grant an adjournment.</w:t>
      </w:r>
      <w:r w:rsidRPr="007245E0">
        <w:rPr>
          <w:rStyle w:val="FootnoteReference"/>
          <w:rFonts w:eastAsia="Times New Roman" w:cs="Times New Roman"/>
          <w:szCs w:val="24"/>
          <w:lang w:val="en-GB" w:eastAsia="en-GB"/>
        </w:rPr>
        <w:footnoteReference w:id="48"/>
      </w:r>
      <w:r w:rsidR="00C906D6" w:rsidRPr="007245E0">
        <w:rPr>
          <w:rFonts w:eastAsia="Times New Roman" w:cs="Times New Roman"/>
          <w:szCs w:val="24"/>
          <w:lang w:val="en-GB" w:eastAsia="en-GB"/>
        </w:rPr>
        <w:t xml:space="preserve"> It is debatable whether this was a matter going to the “merits” of the underlying decision, to which </w:t>
      </w:r>
      <w:r w:rsidR="00C906D6" w:rsidRPr="007245E0">
        <w:rPr>
          <w:rFonts w:eastAsia="Times New Roman" w:cs="Times New Roman"/>
          <w:i/>
          <w:iCs/>
          <w:szCs w:val="24"/>
          <w:lang w:val="en-GB" w:eastAsia="en-GB"/>
        </w:rPr>
        <w:t xml:space="preserve">Vavilov </w:t>
      </w:r>
      <w:r w:rsidR="00C906D6" w:rsidRPr="007245E0">
        <w:rPr>
          <w:rFonts w:eastAsia="Times New Roman" w:cs="Times New Roman"/>
          <w:szCs w:val="24"/>
          <w:lang w:val="en-GB" w:eastAsia="en-GB"/>
        </w:rPr>
        <w:t xml:space="preserve">clearly applies, or related to procedure, in which case </w:t>
      </w:r>
      <w:r w:rsidR="00C906D6" w:rsidRPr="007245E0">
        <w:rPr>
          <w:rFonts w:eastAsia="Times New Roman" w:cs="Times New Roman"/>
          <w:i/>
          <w:iCs/>
          <w:szCs w:val="24"/>
          <w:lang w:val="en-GB" w:eastAsia="en-GB"/>
        </w:rPr>
        <w:t xml:space="preserve">Vavilov </w:t>
      </w:r>
      <w:r w:rsidR="00C906D6" w:rsidRPr="007245E0">
        <w:rPr>
          <w:rFonts w:eastAsia="Times New Roman" w:cs="Times New Roman"/>
          <w:szCs w:val="24"/>
          <w:lang w:val="en-GB" w:eastAsia="en-GB"/>
        </w:rPr>
        <w:t>would not apply. There will be future cases presenting similar difficulties of classification.</w:t>
      </w:r>
      <w:r w:rsidR="00C664DA" w:rsidRPr="007245E0">
        <w:rPr>
          <w:rStyle w:val="FootnoteReference"/>
          <w:rFonts w:eastAsia="Times New Roman" w:cs="Times New Roman"/>
          <w:szCs w:val="24"/>
          <w:lang w:val="en-GB" w:eastAsia="en-GB"/>
        </w:rPr>
        <w:footnoteReference w:id="49"/>
      </w:r>
    </w:p>
    <w:p w14:paraId="0146977D" w14:textId="77777777" w:rsidR="00C906D6" w:rsidRPr="007245E0" w:rsidRDefault="00C906D6" w:rsidP="00C664DA">
      <w:pPr>
        <w:pStyle w:val="Heading1"/>
        <w:numPr>
          <w:ilvl w:val="0"/>
          <w:numId w:val="1"/>
        </w:numPr>
      </w:pPr>
      <w:r w:rsidRPr="007245E0">
        <w:t xml:space="preserve">Reasonableness Review </w:t>
      </w:r>
    </w:p>
    <w:p w14:paraId="0C2E4DDC" w14:textId="77777777" w:rsidR="00C664DA" w:rsidRPr="00195300" w:rsidRDefault="00C664DA" w:rsidP="00C664DA">
      <w:pPr>
        <w:pStyle w:val="Heading2"/>
        <w:rPr>
          <w:rFonts w:eastAsia="Times New Roman"/>
          <w:b/>
          <w:u w:val="none"/>
          <w:lang w:val="en-GB" w:eastAsia="en-GB"/>
        </w:rPr>
      </w:pPr>
      <w:r w:rsidRPr="00195300">
        <w:rPr>
          <w:rFonts w:eastAsia="Times New Roman"/>
          <w:b/>
          <w:u w:val="none"/>
          <w:lang w:val="en-GB" w:eastAsia="en-GB"/>
        </w:rPr>
        <w:t>Reasonableness as a Deferential Standard</w:t>
      </w:r>
    </w:p>
    <w:p w14:paraId="676DB448" w14:textId="50943A1E"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teaches that judicial review should be </w:t>
      </w:r>
      <w:r w:rsidRPr="007245E0">
        <w:rPr>
          <w:rFonts w:eastAsia="Times New Roman" w:cs="Times New Roman"/>
          <w:bCs/>
          <w:szCs w:val="24"/>
          <w:lang w:val="en-GB" w:eastAsia="en-GB"/>
        </w:rPr>
        <w:t>neither a line-by-line treasure hunt for error</w:t>
      </w:r>
      <w:r w:rsidR="00C664DA" w:rsidRPr="007245E0">
        <w:rPr>
          <w:rStyle w:val="FootnoteReference"/>
          <w:rFonts w:eastAsia="Times New Roman" w:cs="Times New Roman"/>
          <w:bCs/>
          <w:szCs w:val="24"/>
          <w:lang w:val="en-GB" w:eastAsia="en-GB"/>
        </w:rPr>
        <w:footnoteReference w:id="50"/>
      </w:r>
      <w:r w:rsidR="002429CA">
        <w:rPr>
          <w:rFonts w:eastAsia="Times New Roman" w:cs="Times New Roman"/>
          <w:szCs w:val="24"/>
          <w:lang w:val="en-GB" w:eastAsia="en-GB"/>
        </w:rPr>
        <w:t xml:space="preserve"> </w:t>
      </w:r>
      <w:r w:rsidRPr="007245E0">
        <w:rPr>
          <w:rFonts w:eastAsia="Times New Roman" w:cs="Times New Roman"/>
          <w:bCs/>
          <w:szCs w:val="24"/>
          <w:lang w:val="en-GB" w:eastAsia="en-GB"/>
        </w:rPr>
        <w:t xml:space="preserve">nor an effort </w:t>
      </w:r>
      <w:r w:rsidR="00195300">
        <w:rPr>
          <w:rFonts w:eastAsia="Times New Roman" w:cs="Times New Roman"/>
          <w:bCs/>
          <w:szCs w:val="24"/>
          <w:lang w:val="en-GB" w:eastAsia="en-GB"/>
        </w:rPr>
        <w:t>to redo</w:t>
      </w:r>
      <w:r w:rsidRPr="007245E0">
        <w:rPr>
          <w:rFonts w:eastAsia="Times New Roman" w:cs="Times New Roman"/>
          <w:bCs/>
          <w:szCs w:val="24"/>
          <w:lang w:val="en-GB" w:eastAsia="en-GB"/>
        </w:rPr>
        <w:t xml:space="preserve"> the work of the administrative decision-maker</w:t>
      </w:r>
      <w:r w:rsidRPr="007245E0">
        <w:rPr>
          <w:rFonts w:eastAsia="Times New Roman" w:cs="Times New Roman"/>
          <w:szCs w:val="24"/>
          <w:lang w:val="en-GB" w:eastAsia="en-GB"/>
        </w:rPr>
        <w:t>.</w:t>
      </w:r>
      <w:r w:rsidR="00C664DA" w:rsidRPr="007245E0">
        <w:rPr>
          <w:rStyle w:val="FootnoteReference"/>
          <w:rFonts w:eastAsia="Times New Roman" w:cs="Times New Roman"/>
          <w:szCs w:val="24"/>
          <w:lang w:val="en-GB" w:eastAsia="en-GB"/>
        </w:rPr>
        <w:footnoteReference w:id="51"/>
      </w:r>
      <w:r w:rsidRPr="007245E0">
        <w:rPr>
          <w:rFonts w:eastAsia="Times New Roman" w:cs="Times New Roman"/>
          <w:szCs w:val="24"/>
          <w:lang w:val="en-GB" w:eastAsia="en-GB"/>
        </w:rPr>
        <w:t xml:space="preserve"> Reasons for administrative decisions should be read fairly, with due attention to the decision-making context and the arguments </w:t>
      </w:r>
      <w:r w:rsidR="00C664DA" w:rsidRPr="007245E0">
        <w:rPr>
          <w:rFonts w:eastAsia="Times New Roman" w:cs="Times New Roman"/>
          <w:szCs w:val="24"/>
          <w:lang w:val="en-GB" w:eastAsia="en-GB"/>
        </w:rPr>
        <w:t>made before the decision-maker</w:t>
      </w:r>
      <w:r w:rsidRPr="007245E0">
        <w:rPr>
          <w:rFonts w:eastAsia="Times New Roman" w:cs="Times New Roman"/>
          <w:szCs w:val="24"/>
          <w:lang w:val="en-GB" w:eastAsia="en-GB"/>
        </w:rPr>
        <w:t>.</w:t>
      </w:r>
      <w:r w:rsidR="00C664DA" w:rsidRPr="007245E0">
        <w:rPr>
          <w:rStyle w:val="FootnoteReference"/>
          <w:rFonts w:eastAsia="Times New Roman" w:cs="Times New Roman"/>
          <w:szCs w:val="24"/>
          <w:lang w:val="en-GB" w:eastAsia="en-GB"/>
        </w:rPr>
        <w:footnoteReference w:id="52"/>
      </w:r>
      <w:r w:rsidRPr="007245E0">
        <w:rPr>
          <w:rFonts w:eastAsia="Times New Roman" w:cs="Times New Roman"/>
          <w:szCs w:val="24"/>
          <w:lang w:val="en-GB" w:eastAsia="en-GB"/>
        </w:rPr>
        <w:t xml:space="preserve"> Departures from prior decisions are entirely possible, as long as adeq</w:t>
      </w:r>
      <w:r w:rsidR="00C664DA" w:rsidRPr="007245E0">
        <w:rPr>
          <w:rFonts w:eastAsia="Times New Roman" w:cs="Times New Roman"/>
          <w:szCs w:val="24"/>
          <w:lang w:val="en-GB" w:eastAsia="en-GB"/>
        </w:rPr>
        <w:t>uate justification is provided</w:t>
      </w:r>
      <w:r w:rsidRPr="007245E0">
        <w:rPr>
          <w:rFonts w:eastAsia="Times New Roman" w:cs="Times New Roman"/>
          <w:szCs w:val="24"/>
          <w:lang w:val="en-GB" w:eastAsia="en-GB"/>
        </w:rPr>
        <w:t>.</w:t>
      </w:r>
      <w:r w:rsidR="00C664DA" w:rsidRPr="007245E0">
        <w:rPr>
          <w:rStyle w:val="FootnoteReference"/>
          <w:rFonts w:eastAsia="Times New Roman" w:cs="Times New Roman"/>
          <w:szCs w:val="24"/>
          <w:lang w:val="en-GB" w:eastAsia="en-GB"/>
        </w:rPr>
        <w:footnoteReference w:id="53"/>
      </w:r>
      <w:r w:rsidRPr="007245E0">
        <w:rPr>
          <w:rFonts w:eastAsia="Times New Roman" w:cs="Times New Roman"/>
          <w:szCs w:val="24"/>
          <w:lang w:val="en-GB" w:eastAsia="en-GB"/>
        </w:rPr>
        <w:t xml:space="preserve"> And the Quebec Court of </w:t>
      </w:r>
      <w:r w:rsidRPr="007245E0">
        <w:rPr>
          <w:rFonts w:eastAsia="Times New Roman" w:cs="Times New Roman"/>
          <w:szCs w:val="24"/>
          <w:lang w:val="en-GB" w:eastAsia="en-GB"/>
        </w:rPr>
        <w:lastRenderedPageBreak/>
        <w:t xml:space="preserve">Appeal has signalled, in excellent reasons by Moore JA, that it is on the look-out for unfaithful applications of reasonableness review, so-called </w:t>
      </w:r>
      <w:r w:rsidRPr="007245E0">
        <w:rPr>
          <w:rFonts w:eastAsia="Times New Roman" w:cs="Times New Roman"/>
          <w:bCs/>
          <w:szCs w:val="24"/>
          <w:lang w:val="en-GB" w:eastAsia="en-GB"/>
        </w:rPr>
        <w:t>disguised correctness review</w:t>
      </w:r>
      <w:r w:rsidR="00C664DA" w:rsidRPr="007245E0">
        <w:rPr>
          <w:rFonts w:eastAsia="Times New Roman" w:cs="Times New Roman"/>
          <w:szCs w:val="24"/>
          <w:lang w:val="en-GB" w:eastAsia="en-GB"/>
        </w:rPr>
        <w:t>.</w:t>
      </w:r>
      <w:r w:rsidR="00C664DA" w:rsidRPr="007245E0">
        <w:rPr>
          <w:rStyle w:val="FootnoteReference"/>
          <w:rFonts w:eastAsia="Times New Roman" w:cs="Times New Roman"/>
          <w:szCs w:val="24"/>
          <w:lang w:val="en-GB" w:eastAsia="en-GB"/>
        </w:rPr>
        <w:footnoteReference w:id="54"/>
      </w:r>
      <w:r w:rsidRPr="007245E0">
        <w:rPr>
          <w:rFonts w:eastAsia="Times New Roman" w:cs="Times New Roman"/>
          <w:szCs w:val="24"/>
          <w:lang w:val="en-GB" w:eastAsia="en-GB"/>
        </w:rPr>
        <w:t xml:space="preserve"> </w:t>
      </w:r>
    </w:p>
    <w:p w14:paraId="76AA1ECF" w14:textId="7CBFE4F8" w:rsidR="00C664DA" w:rsidRPr="00195300" w:rsidRDefault="00C664DA" w:rsidP="00C664DA">
      <w:pPr>
        <w:pStyle w:val="Heading2"/>
        <w:rPr>
          <w:rFonts w:eastAsia="Times New Roman"/>
          <w:b/>
          <w:u w:val="none"/>
          <w:lang w:val="en-GB" w:eastAsia="en-GB"/>
        </w:rPr>
      </w:pPr>
      <w:r w:rsidRPr="00195300">
        <w:rPr>
          <w:rFonts w:eastAsia="Times New Roman"/>
          <w:b/>
          <w:u w:val="none"/>
          <w:lang w:val="en-GB" w:eastAsia="en-GB"/>
        </w:rPr>
        <w:t>Supplementation, Justification</w:t>
      </w:r>
      <w:r w:rsidR="00195300">
        <w:rPr>
          <w:rFonts w:eastAsia="Times New Roman"/>
          <w:b/>
          <w:u w:val="none"/>
          <w:lang w:val="en-GB" w:eastAsia="en-GB"/>
        </w:rPr>
        <w:t>,</w:t>
      </w:r>
      <w:r w:rsidRPr="00195300">
        <w:rPr>
          <w:rFonts w:eastAsia="Times New Roman"/>
          <w:b/>
          <w:u w:val="none"/>
          <w:lang w:val="en-GB" w:eastAsia="en-GB"/>
        </w:rPr>
        <w:t xml:space="preserve"> and Responsiveness</w:t>
      </w:r>
    </w:p>
    <w:p w14:paraId="776CDBE3" w14:textId="23F89B37"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My view is that the methodology of </w:t>
      </w:r>
      <w:r w:rsidRPr="007245E0">
        <w:rPr>
          <w:rFonts w:eastAsia="Times New Roman" w:cs="Times New Roman"/>
          <w:i/>
          <w:iCs/>
          <w:szCs w:val="24"/>
          <w:lang w:val="en-GB" w:eastAsia="en-GB"/>
        </w:rPr>
        <w:t xml:space="preserve">Vavilovian </w:t>
      </w:r>
      <w:r w:rsidRPr="007245E0">
        <w:rPr>
          <w:rFonts w:eastAsia="Times New Roman" w:cs="Times New Roman"/>
          <w:szCs w:val="24"/>
          <w:lang w:val="en-GB" w:eastAsia="en-GB"/>
        </w:rPr>
        <w:t xml:space="preserve">reasonableness review is inherently deferential. But it is certainly </w:t>
      </w:r>
      <w:r w:rsidRPr="007245E0">
        <w:rPr>
          <w:rFonts w:eastAsia="Times New Roman" w:cs="Times New Roman"/>
          <w:bCs/>
          <w:szCs w:val="24"/>
          <w:lang w:val="en-GB" w:eastAsia="en-GB"/>
        </w:rPr>
        <w:t>arguable</w:t>
      </w:r>
      <w:r w:rsidRPr="007245E0">
        <w:rPr>
          <w:rFonts w:eastAsia="Times New Roman" w:cs="Times New Roman"/>
          <w:szCs w:val="24"/>
          <w:lang w:val="en-GB" w:eastAsia="en-GB"/>
        </w:rPr>
        <w:t xml:space="preserve"> that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has,</w:t>
      </w:r>
      <w:r w:rsidR="00195300">
        <w:rPr>
          <w:rFonts w:eastAsia="Times New Roman" w:cs="Times New Roman"/>
          <w:szCs w:val="24"/>
          <w:lang w:val="en-GB" w:eastAsia="en-GB"/>
        </w:rPr>
        <w:t xml:space="preserve"> in respect to</w:t>
      </w:r>
      <w:r w:rsidR="00C664DA" w:rsidRPr="007245E0">
        <w:rPr>
          <w:rFonts w:eastAsia="Times New Roman" w:cs="Times New Roman"/>
          <w:szCs w:val="24"/>
          <w:lang w:val="en-GB" w:eastAsia="en-GB"/>
        </w:rPr>
        <w:t xml:space="preserve"> supplementation,</w:t>
      </w:r>
      <w:r w:rsidRPr="007245E0">
        <w:rPr>
          <w:rFonts w:eastAsia="Times New Roman" w:cs="Times New Roman"/>
          <w:szCs w:val="24"/>
          <w:lang w:val="en-GB" w:eastAsia="en-GB"/>
        </w:rPr>
        <w:t xml:space="preserve"> justification</w:t>
      </w:r>
      <w:r w:rsidR="00195300">
        <w:rPr>
          <w:rFonts w:eastAsia="Times New Roman" w:cs="Times New Roman"/>
          <w:szCs w:val="24"/>
          <w:lang w:val="en-GB" w:eastAsia="en-GB"/>
        </w:rPr>
        <w:t>,</w:t>
      </w:r>
      <w:r w:rsidR="00C664DA" w:rsidRPr="007245E0">
        <w:rPr>
          <w:rFonts w:eastAsia="Times New Roman" w:cs="Times New Roman"/>
          <w:szCs w:val="24"/>
          <w:lang w:val="en-GB" w:eastAsia="en-GB"/>
        </w:rPr>
        <w:t xml:space="preserve"> and responsiveness</w:t>
      </w:r>
      <w:r w:rsidRPr="007245E0">
        <w:rPr>
          <w:rFonts w:eastAsia="Times New Roman" w:cs="Times New Roman"/>
          <w:szCs w:val="24"/>
          <w:lang w:val="en-GB" w:eastAsia="en-GB"/>
        </w:rPr>
        <w:t xml:space="preserve">, set a </w:t>
      </w:r>
      <w:r w:rsidRPr="007245E0">
        <w:rPr>
          <w:rFonts w:eastAsia="Times New Roman" w:cs="Times New Roman"/>
          <w:bCs/>
          <w:szCs w:val="24"/>
          <w:lang w:val="en-GB" w:eastAsia="en-GB"/>
        </w:rPr>
        <w:t>slightly higher bar</w:t>
      </w:r>
      <w:r w:rsidRPr="007245E0">
        <w:rPr>
          <w:rFonts w:eastAsia="Times New Roman" w:cs="Times New Roman"/>
          <w:szCs w:val="24"/>
          <w:lang w:val="en-GB" w:eastAsia="en-GB"/>
        </w:rPr>
        <w:t xml:space="preserve"> for decision-makers than the pre-</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regime. This was certainly Gauthier JA’s conclusion in the important decision in </w:t>
      </w:r>
      <w:r w:rsidRPr="007245E0">
        <w:rPr>
          <w:rFonts w:eastAsia="Times New Roman" w:cs="Times New Roman"/>
          <w:i/>
          <w:iCs/>
          <w:szCs w:val="24"/>
          <w:lang w:val="en-GB" w:eastAsia="en-GB"/>
        </w:rPr>
        <w:t>Farrier</w:t>
      </w:r>
      <w:r w:rsidR="00FB0A84">
        <w:rPr>
          <w:rFonts w:eastAsia="Times New Roman" w:cs="Times New Roman"/>
          <w:i/>
          <w:iCs/>
          <w:szCs w:val="24"/>
          <w:lang w:val="en-GB" w:eastAsia="en-GB"/>
        </w:rPr>
        <w:t xml:space="preserve"> c</w:t>
      </w:r>
      <w:r w:rsidRPr="007245E0">
        <w:rPr>
          <w:rFonts w:eastAsia="Times New Roman" w:cs="Times New Roman"/>
          <w:i/>
          <w:iCs/>
          <w:szCs w:val="24"/>
          <w:lang w:val="en-GB" w:eastAsia="en-GB"/>
        </w:rPr>
        <w:t xml:space="preserve"> Canada (Procureur général)</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55"/>
      </w:r>
      <w:r w:rsidRPr="007245E0">
        <w:rPr>
          <w:rFonts w:eastAsia="Times New Roman" w:cs="Times New Roman"/>
          <w:szCs w:val="24"/>
          <w:lang w:val="en-GB" w:eastAsia="en-GB"/>
        </w:rPr>
        <w:t xml:space="preserve"> Quashing as unreasonable a one-page decision from the Parole Board which failed to engage with the applicant’s arguments, she commented:</w:t>
      </w:r>
      <w:r w:rsidR="00C664DA" w:rsidRPr="007245E0">
        <w:rPr>
          <w:rFonts w:eastAsia="Times New Roman" w:cs="Times New Roman"/>
          <w:szCs w:val="24"/>
          <w:lang w:val="en-GB" w:eastAsia="en-GB"/>
        </w:rPr>
        <w:t xml:space="preserve"> </w:t>
      </w:r>
    </w:p>
    <w:p w14:paraId="263C9ADD" w14:textId="77777777" w:rsidR="00C906D6" w:rsidRPr="007245E0" w:rsidRDefault="00C906D6" w:rsidP="00703DE4">
      <w:pPr>
        <w:spacing w:beforeAutospacing="1" w:after="100" w:afterAutospacing="1" w:line="240" w:lineRule="auto"/>
        <w:ind w:left="720"/>
        <w:rPr>
          <w:rFonts w:eastAsia="Times New Roman" w:cs="Times New Roman"/>
          <w:szCs w:val="24"/>
          <w:lang w:val="en-GB" w:eastAsia="en-GB"/>
        </w:rPr>
      </w:pPr>
      <w:r w:rsidRPr="007245E0">
        <w:rPr>
          <w:rFonts w:eastAsia="Times New Roman" w:cs="Times New Roman"/>
          <w:szCs w:val="24"/>
          <w:lang w:val="en-GB" w:eastAsia="en-GB"/>
        </w:rPr>
        <w:t xml:space="preserve">Before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I would probably have found, as did the Federal Court, that, in light of the presumption that the decision-maker considered all of the arguments and the case law before it and after having read the record, the decision was reasonable. The absence of reasons dealing with the first two issues before the Appeal Division was not at the time </w:t>
      </w:r>
      <w:proofErr w:type="gramStart"/>
      <w:r w:rsidRPr="007245E0">
        <w:rPr>
          <w:rFonts w:eastAsia="Times New Roman" w:cs="Times New Roman"/>
          <w:szCs w:val="24"/>
          <w:lang w:val="en-GB" w:eastAsia="en-GB"/>
        </w:rPr>
        <w:t>sufficient</w:t>
      </w:r>
      <w:proofErr w:type="gramEnd"/>
      <w:r w:rsidRPr="007245E0">
        <w:rPr>
          <w:rFonts w:eastAsia="Times New Roman" w:cs="Times New Roman"/>
          <w:szCs w:val="24"/>
          <w:lang w:val="en-GB" w:eastAsia="en-GB"/>
        </w:rPr>
        <w:t xml:space="preserve"> to set aside the decision. It was implicit that the Appeal Division did not accept that the Board’s interpretation of the </w:t>
      </w:r>
      <w:hyperlink r:id="rId13" w:history="1">
        <w:r w:rsidRPr="007245E0">
          <w:rPr>
            <w:rFonts w:eastAsia="Times New Roman" w:cs="Times New Roman"/>
            <w:szCs w:val="24"/>
            <w:lang w:val="en-GB" w:eastAsia="en-GB"/>
          </w:rPr>
          <w:t>Act</w:t>
        </w:r>
      </w:hyperlink>
      <w:r w:rsidRPr="007245E0">
        <w:rPr>
          <w:rFonts w:eastAsia="Times New Roman" w:cs="Times New Roman"/>
          <w:szCs w:val="24"/>
          <w:lang w:val="en-GB" w:eastAsia="en-GB"/>
        </w:rPr>
        <w:t xml:space="preserve"> was erroneous, particularly considering </w:t>
      </w:r>
      <w:hyperlink r:id="rId14" w:anchor="sec143subsec1_smooth" w:history="1">
        <w:r w:rsidRPr="007245E0">
          <w:rPr>
            <w:rFonts w:eastAsia="Times New Roman" w:cs="Times New Roman"/>
            <w:szCs w:val="24"/>
            <w:lang w:val="en-GB" w:eastAsia="en-GB"/>
          </w:rPr>
          <w:t>subsection 143(1)</w:t>
        </w:r>
      </w:hyperlink>
      <w:r w:rsidRPr="007245E0">
        <w:rPr>
          <w:rFonts w:eastAsia="Times New Roman" w:cs="Times New Roman"/>
          <w:szCs w:val="24"/>
          <w:lang w:val="en-GB" w:eastAsia="en-GB"/>
        </w:rPr>
        <w:t xml:space="preserve"> of the </w:t>
      </w:r>
      <w:hyperlink r:id="rId15" w:history="1">
        <w:r w:rsidRPr="007245E0">
          <w:rPr>
            <w:rFonts w:eastAsia="Times New Roman" w:cs="Times New Roman"/>
            <w:szCs w:val="24"/>
            <w:lang w:val="en-GB" w:eastAsia="en-GB"/>
          </w:rPr>
          <w:t>Act</w:t>
        </w:r>
      </w:hyperlink>
      <w:r w:rsidRPr="007245E0">
        <w:rPr>
          <w:rFonts w:eastAsia="Times New Roman" w:cs="Times New Roman"/>
          <w:szCs w:val="24"/>
          <w:lang w:val="en-GB" w:eastAsia="en-GB"/>
        </w:rPr>
        <w:t xml:space="preserve">. Under the circumstances, the administrative decision-maker was presumed to have rejected Mr. Farrier’s arguments regarding any prejudice caused by the lack of a recording regardless of whether the </w:t>
      </w:r>
      <w:hyperlink r:id="rId16" w:history="1">
        <w:r w:rsidRPr="007245E0">
          <w:rPr>
            <w:rFonts w:eastAsia="Times New Roman" w:cs="Times New Roman"/>
            <w:szCs w:val="24"/>
            <w:lang w:val="en-GB" w:eastAsia="en-GB"/>
          </w:rPr>
          <w:t>Act</w:t>
        </w:r>
      </w:hyperlink>
      <w:r w:rsidRPr="007245E0">
        <w:rPr>
          <w:rFonts w:eastAsia="Times New Roman" w:cs="Times New Roman"/>
          <w:szCs w:val="24"/>
          <w:lang w:val="en-GB" w:eastAsia="en-GB"/>
        </w:rPr>
        <w:t xml:space="preserve"> provides for such a recording or whether there was simply a breach of the Manual. Such a finding was one of the possible outcomes given the Supreme Court’s decision in </w:t>
      </w:r>
      <w:r w:rsidRPr="007245E0">
        <w:rPr>
          <w:rFonts w:eastAsia="Times New Roman" w:cs="Times New Roman"/>
          <w:i/>
          <w:iCs/>
          <w:szCs w:val="24"/>
          <w:lang w:val="en-GB" w:eastAsia="en-GB"/>
        </w:rPr>
        <w:t>CUPE</w:t>
      </w:r>
      <w:r w:rsidRPr="007245E0">
        <w:rPr>
          <w:rFonts w:eastAsia="Times New Roman" w:cs="Times New Roman"/>
          <w:szCs w:val="24"/>
          <w:lang w:val="en-GB" w:eastAsia="en-GB"/>
        </w:rPr>
        <w:t>, even if that decision was not cited by the App</w:t>
      </w:r>
      <w:r w:rsidR="00703DE4" w:rsidRPr="007245E0">
        <w:rPr>
          <w:rFonts w:eastAsia="Times New Roman" w:cs="Times New Roman"/>
          <w:szCs w:val="24"/>
          <w:lang w:val="en-GB" w:eastAsia="en-GB"/>
        </w:rPr>
        <w:t>eal Division</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56"/>
      </w:r>
      <w:r w:rsidRPr="007245E0">
        <w:rPr>
          <w:rFonts w:eastAsia="Times New Roman" w:cs="Times New Roman"/>
          <w:szCs w:val="24"/>
          <w:lang w:val="en-GB" w:eastAsia="en-GB"/>
        </w:rPr>
        <w:t xml:space="preserve"> </w:t>
      </w:r>
    </w:p>
    <w:p w14:paraId="7E0DCC73" w14:textId="3C91F80A" w:rsidR="00C906D6" w:rsidRPr="007245E0" w:rsidRDefault="00C906D6" w:rsidP="00703DE4">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In the absence of any internal policies, previous Parole Board jurisprudence or other explanations for not addres</w:t>
      </w:r>
      <w:r w:rsidR="00703DE4" w:rsidRPr="007245E0">
        <w:rPr>
          <w:rFonts w:eastAsia="Times New Roman" w:cs="Times New Roman"/>
          <w:szCs w:val="24"/>
          <w:lang w:val="en-GB" w:eastAsia="en-GB"/>
        </w:rPr>
        <w:t>sing the applicant’s arguments</w:t>
      </w:r>
      <w:r w:rsidRPr="007245E0">
        <w:rPr>
          <w:rFonts w:eastAsia="Times New Roman" w:cs="Times New Roman"/>
          <w:szCs w:val="24"/>
          <w:lang w:val="en-GB" w:eastAsia="en-GB"/>
        </w:rPr>
        <w:t>, the conclusion that the decision was unreasonable was irresistible.</w:t>
      </w:r>
      <w:r w:rsidR="00703DE4" w:rsidRPr="007245E0">
        <w:rPr>
          <w:rStyle w:val="FootnoteReference"/>
          <w:rFonts w:eastAsia="Times New Roman" w:cs="Times New Roman"/>
          <w:szCs w:val="24"/>
          <w:lang w:val="en-GB" w:eastAsia="en-GB"/>
        </w:rPr>
        <w:footnoteReference w:id="57"/>
      </w:r>
      <w:r w:rsidRPr="007245E0">
        <w:rPr>
          <w:rFonts w:eastAsia="Times New Roman" w:cs="Times New Roman"/>
          <w:szCs w:val="24"/>
          <w:lang w:val="en-GB" w:eastAsia="en-GB"/>
        </w:rPr>
        <w:t xml:space="preserve"> Courts post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might not be able or willing to “infer” that an argument or evidence was considered in the absence of reasons dealing</w:t>
      </w:r>
      <w:r w:rsidR="00703DE4" w:rsidRPr="007245E0">
        <w:rPr>
          <w:rFonts w:eastAsia="Times New Roman" w:cs="Times New Roman"/>
          <w:szCs w:val="24"/>
          <w:lang w:val="en-GB" w:eastAsia="en-GB"/>
        </w:rPr>
        <w:t xml:space="preserve"> with the argument or evidence</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58"/>
      </w:r>
      <w:r w:rsidRPr="007245E0">
        <w:rPr>
          <w:rFonts w:eastAsia="Times New Roman" w:cs="Times New Roman"/>
          <w:szCs w:val="24"/>
          <w:lang w:val="en-GB" w:eastAsia="en-GB"/>
        </w:rPr>
        <w:t xml:space="preserve"> Testing the limits of “coherence and justification” is not a wise strategy, as Rennie JA put it in </w:t>
      </w:r>
      <w:r w:rsidRPr="007245E0">
        <w:rPr>
          <w:rFonts w:eastAsia="Times New Roman" w:cs="Times New Roman"/>
          <w:i/>
          <w:iCs/>
          <w:szCs w:val="24"/>
          <w:lang w:val="en-GB" w:eastAsia="en-GB"/>
        </w:rPr>
        <w:t xml:space="preserve">Langevin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Air Canada</w:t>
      </w:r>
      <w:r w:rsidR="00703DE4"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59"/>
      </w:r>
      <w:r w:rsidRPr="007245E0">
        <w:rPr>
          <w:rFonts w:eastAsia="Times New Roman" w:cs="Times New Roman"/>
          <w:szCs w:val="24"/>
          <w:lang w:val="en-GB" w:eastAsia="en-GB"/>
        </w:rPr>
        <w:t xml:space="preserve"> where the Canada Industrial Relations Board had reverted to a “conclusory, boiler-plate statement” in respect of a point in dispute: but there, luckily for the Board, a response to the point would ha</w:t>
      </w:r>
      <w:r w:rsidR="00703DE4" w:rsidRPr="007245E0">
        <w:rPr>
          <w:rFonts w:eastAsia="Times New Roman" w:cs="Times New Roman"/>
          <w:szCs w:val="24"/>
          <w:lang w:val="en-GB" w:eastAsia="en-GB"/>
        </w:rPr>
        <w:t>ve been “of little assistance</w:t>
      </w:r>
      <w:r w:rsidR="00B97070">
        <w:rPr>
          <w:rFonts w:eastAsia="Times New Roman" w:cs="Times New Roman"/>
          <w:szCs w:val="24"/>
          <w:lang w:val="en-GB" w:eastAsia="en-GB"/>
        </w:rPr>
        <w:t>,</w:t>
      </w:r>
      <w:r w:rsidR="00703DE4"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60"/>
      </w:r>
      <w:r w:rsidRPr="007245E0">
        <w:rPr>
          <w:rFonts w:eastAsia="Times New Roman" w:cs="Times New Roman"/>
          <w:szCs w:val="24"/>
          <w:lang w:val="en-GB" w:eastAsia="en-GB"/>
        </w:rPr>
        <w:t xml:space="preserve"> </w:t>
      </w:r>
      <w:r w:rsidR="00703DE4" w:rsidRPr="007245E0">
        <w:rPr>
          <w:rFonts w:eastAsia="Times New Roman" w:cs="Times New Roman"/>
          <w:szCs w:val="24"/>
          <w:lang w:val="en-GB" w:eastAsia="en-GB"/>
        </w:rPr>
        <w:t>and so the decision was upheld</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61"/>
      </w:r>
      <w:r w:rsidRPr="007245E0">
        <w:rPr>
          <w:rFonts w:eastAsia="Times New Roman" w:cs="Times New Roman"/>
          <w:szCs w:val="24"/>
          <w:lang w:val="en-GB" w:eastAsia="en-GB"/>
        </w:rPr>
        <w:t xml:space="preserve"> In </w:t>
      </w:r>
      <w:r w:rsidRPr="007245E0">
        <w:rPr>
          <w:rFonts w:eastAsia="Times New Roman" w:cs="Times New Roman"/>
          <w:i/>
          <w:iCs/>
          <w:szCs w:val="24"/>
          <w:lang w:val="en-GB" w:eastAsia="en-GB"/>
        </w:rPr>
        <w:t xml:space="preserve">Osun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xml:space="preserve">, a boilerplate comment to the effect that the decision-maker had given a piece of evidence “careful consideration” was insufficient, as the decision lacked an “assessment” </w:t>
      </w:r>
      <w:r w:rsidRPr="007245E0">
        <w:rPr>
          <w:rFonts w:eastAsia="Times New Roman" w:cs="Times New Roman"/>
          <w:szCs w:val="24"/>
          <w:lang w:val="en-GB" w:eastAsia="en-GB"/>
        </w:rPr>
        <w:lastRenderedPageBreak/>
        <w:t>of the evidence.</w:t>
      </w:r>
      <w:r w:rsidR="00703DE4" w:rsidRPr="007245E0">
        <w:rPr>
          <w:rStyle w:val="FootnoteReference"/>
          <w:rFonts w:eastAsia="Times New Roman" w:cs="Times New Roman"/>
          <w:szCs w:val="24"/>
          <w:lang w:val="en-GB" w:eastAsia="en-GB"/>
        </w:rPr>
        <w:footnoteReference w:id="62"/>
      </w:r>
      <w:r w:rsidRPr="007245E0">
        <w:rPr>
          <w:rFonts w:eastAsia="Times New Roman" w:cs="Times New Roman"/>
          <w:szCs w:val="24"/>
          <w:lang w:val="en-GB" w:eastAsia="en-GB"/>
        </w:rPr>
        <w:t xml:space="preserve"> </w:t>
      </w:r>
      <w:r w:rsidR="00703DE4" w:rsidRPr="007245E0">
        <w:rPr>
          <w:rFonts w:eastAsia="Times New Roman" w:cs="Times New Roman"/>
          <w:szCs w:val="24"/>
          <w:lang w:val="en-GB" w:eastAsia="en-GB"/>
        </w:rPr>
        <w:t xml:space="preserve">Moreover, judicial re-writing of defective decisions has been definitively ruled out: see </w:t>
      </w:r>
      <w:r w:rsidR="00703DE4" w:rsidRPr="007245E0">
        <w:rPr>
          <w:rFonts w:eastAsia="Times New Roman" w:cs="Times New Roman"/>
          <w:i/>
          <w:iCs/>
          <w:szCs w:val="24"/>
          <w:lang w:val="en-GB" w:eastAsia="en-GB"/>
        </w:rPr>
        <w:t xml:space="preserve">Hasani </w:t>
      </w:r>
      <w:r w:rsidR="00087CA5">
        <w:rPr>
          <w:rFonts w:eastAsia="Times New Roman" w:cs="Times New Roman"/>
          <w:i/>
          <w:iCs/>
          <w:szCs w:val="24"/>
          <w:lang w:val="en-GB" w:eastAsia="en-GB"/>
        </w:rPr>
        <w:t>v</w:t>
      </w:r>
      <w:r w:rsidR="00703DE4" w:rsidRPr="007245E0">
        <w:rPr>
          <w:rFonts w:eastAsia="Times New Roman" w:cs="Times New Roman"/>
          <w:i/>
          <w:iCs/>
          <w:szCs w:val="24"/>
          <w:lang w:val="en-GB" w:eastAsia="en-GB"/>
        </w:rPr>
        <w:t xml:space="preserve"> Canada (Citizenship and Immigration)</w:t>
      </w:r>
      <w:r w:rsidR="00703DE4"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63"/>
      </w:r>
    </w:p>
    <w:p w14:paraId="72695282" w14:textId="14CF2323"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There have already been </w:t>
      </w:r>
      <w:r w:rsidRPr="007245E0">
        <w:rPr>
          <w:rFonts w:eastAsia="Times New Roman" w:cs="Times New Roman"/>
          <w:bCs/>
          <w:szCs w:val="24"/>
          <w:lang w:val="en-GB" w:eastAsia="en-GB"/>
        </w:rPr>
        <w:t>some robust applications</w:t>
      </w:r>
      <w:r w:rsidRPr="007245E0">
        <w:rPr>
          <w:rFonts w:eastAsia="Times New Roman" w:cs="Times New Roman"/>
          <w:szCs w:val="24"/>
          <w:lang w:val="en-GB" w:eastAsia="en-GB"/>
        </w:rPr>
        <w:t xml:space="preserve"> of reasonableness review, justified by reference to the emphasis in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on responsiveness. For example, in </w:t>
      </w:r>
      <w:r w:rsidRPr="007245E0">
        <w:rPr>
          <w:rFonts w:eastAsia="Times New Roman" w:cs="Times New Roman"/>
          <w:i/>
          <w:iCs/>
          <w:szCs w:val="24"/>
          <w:lang w:val="en-GB" w:eastAsia="en-GB"/>
        </w:rPr>
        <w:t>Langlais</w:t>
      </w:r>
      <w:r w:rsidR="00FB0A84">
        <w:rPr>
          <w:rFonts w:eastAsia="Times New Roman" w:cs="Times New Roman"/>
          <w:i/>
          <w:iCs/>
          <w:szCs w:val="24"/>
          <w:lang w:val="en-GB" w:eastAsia="en-GB"/>
        </w:rPr>
        <w:t xml:space="preserve"> c</w:t>
      </w:r>
      <w:r w:rsidRPr="007245E0">
        <w:rPr>
          <w:rFonts w:eastAsia="Times New Roman" w:cs="Times New Roman"/>
          <w:i/>
          <w:iCs/>
          <w:szCs w:val="24"/>
          <w:lang w:val="en-GB" w:eastAsia="en-GB"/>
        </w:rPr>
        <w:t xml:space="preserve"> Collège des médecins du Québec</w:t>
      </w:r>
      <w:r w:rsidRPr="007245E0">
        <w:rPr>
          <w:rFonts w:eastAsia="Times New Roman" w:cs="Times New Roman"/>
          <w:szCs w:val="24"/>
          <w:lang w:val="en-GB" w:eastAsia="en-GB"/>
        </w:rPr>
        <w:t>, it was unreasonable for the Collège to fail to address the regulatory provision which a doctor invoked to support his application for recognition as a specialist in internal medicine (necessary because, in 2012, the Collège had introduced more stringent standards in this regard</w:t>
      </w:r>
      <w:r w:rsidR="00703DE4" w:rsidRPr="007245E0">
        <w:rPr>
          <w:rFonts w:eastAsia="Times New Roman" w:cs="Times New Roman"/>
          <w:szCs w:val="24"/>
          <w:lang w:val="en-GB" w:eastAsia="en-GB"/>
        </w:rPr>
        <w:t>)</w:t>
      </w:r>
      <w:r w:rsidRPr="007245E0">
        <w:rPr>
          <w:rFonts w:eastAsia="Times New Roman" w:cs="Times New Roman"/>
          <w:szCs w:val="24"/>
          <w:lang w:val="en-GB" w:eastAsia="en-GB"/>
        </w:rPr>
        <w:t>.</w:t>
      </w:r>
      <w:r w:rsidR="008531FD" w:rsidRPr="007245E0">
        <w:rPr>
          <w:rStyle w:val="FootnoteReference"/>
          <w:rFonts w:eastAsia="Times New Roman" w:cs="Times New Roman"/>
          <w:szCs w:val="24"/>
          <w:lang w:val="en-GB" w:eastAsia="en-GB"/>
        </w:rPr>
        <w:footnoteReference w:id="64"/>
      </w:r>
      <w:r w:rsidRPr="007245E0">
        <w:rPr>
          <w:rFonts w:eastAsia="Times New Roman" w:cs="Times New Roman"/>
          <w:szCs w:val="24"/>
          <w:lang w:val="en-GB" w:eastAsia="en-GB"/>
        </w:rPr>
        <w:t xml:space="preserve"> </w:t>
      </w:r>
    </w:p>
    <w:p w14:paraId="4D8F3372" w14:textId="6651CC76"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Similarly, in</w:t>
      </w:r>
      <w:r w:rsidRPr="007245E0">
        <w:rPr>
          <w:rFonts w:eastAsia="Times New Roman" w:cs="Times New Roman"/>
          <w:i/>
          <w:iCs/>
          <w:szCs w:val="24"/>
          <w:lang w:val="en-GB" w:eastAsia="en-GB"/>
        </w:rPr>
        <w:t xml:space="preserve"> Patel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Canada (Citizenship and Immigration)</w:t>
      </w:r>
      <w:r w:rsidR="00703DE4" w:rsidRPr="007245E0">
        <w:rPr>
          <w:rFonts w:eastAsia="Times New Roman" w:cs="Times New Roman"/>
          <w:szCs w:val="24"/>
          <w:lang w:val="en-GB" w:eastAsia="en-GB"/>
        </w:rPr>
        <w:t>,</w:t>
      </w:r>
      <w:r w:rsidRPr="007245E0">
        <w:rPr>
          <w:rFonts w:eastAsia="Times New Roman" w:cs="Times New Roman"/>
          <w:szCs w:val="24"/>
          <w:lang w:val="en-GB" w:eastAsia="en-GB"/>
        </w:rPr>
        <w:t xml:space="preserve"> Diner J noted that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requires “basic responsiveness” to the evidence presented (and found it lacking here),</w:t>
      </w:r>
      <w:r w:rsidR="00703DE4" w:rsidRPr="007245E0">
        <w:rPr>
          <w:rStyle w:val="FootnoteReference"/>
          <w:rFonts w:eastAsia="Times New Roman" w:cs="Times New Roman"/>
          <w:szCs w:val="24"/>
          <w:lang w:val="en-GB" w:eastAsia="en-GB"/>
        </w:rPr>
        <w:footnoteReference w:id="65"/>
      </w:r>
      <w:r w:rsidRPr="007245E0">
        <w:rPr>
          <w:rFonts w:eastAsia="Times New Roman" w:cs="Times New Roman"/>
          <w:szCs w:val="24"/>
          <w:lang w:val="en-GB" w:eastAsia="en-GB"/>
        </w:rPr>
        <w:t xml:space="preserve"> in </w:t>
      </w:r>
      <w:r w:rsidRPr="007245E0">
        <w:rPr>
          <w:rFonts w:eastAsia="Times New Roman" w:cs="Times New Roman"/>
          <w:i/>
          <w:iCs/>
          <w:szCs w:val="24"/>
          <w:lang w:val="en-GB" w:eastAsia="en-GB"/>
        </w:rPr>
        <w:t xml:space="preserve">Samra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Favel J found a decision unreasonable because it “lacked analysis”: “the officer’s decision is merely a recitation of the evidence before him followed by a conclusion”</w:t>
      </w:r>
      <w:r w:rsidR="00703DE4" w:rsidRPr="007245E0">
        <w:rPr>
          <w:rStyle w:val="FootnoteReference"/>
          <w:rFonts w:eastAsia="Times New Roman" w:cs="Times New Roman"/>
          <w:szCs w:val="24"/>
          <w:lang w:val="en-GB" w:eastAsia="en-GB"/>
        </w:rPr>
        <w:footnoteReference w:id="66"/>
      </w:r>
      <w:r w:rsidRPr="007245E0">
        <w:rPr>
          <w:rFonts w:eastAsia="Times New Roman" w:cs="Times New Roman"/>
          <w:szCs w:val="24"/>
          <w:lang w:val="en-GB" w:eastAsia="en-GB"/>
        </w:rPr>
        <w:t xml:space="preserve"> and in</w:t>
      </w:r>
      <w:r w:rsidRPr="007245E0">
        <w:rPr>
          <w:rFonts w:eastAsia="Times New Roman" w:cs="Times New Roman"/>
          <w:i/>
          <w:iCs/>
          <w:szCs w:val="24"/>
          <w:lang w:val="en-GB" w:eastAsia="en-GB"/>
        </w:rPr>
        <w:t xml:space="preserve"> Li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Fuhrer J struck down a sparsely reasoned study permit decision issued by a line officer who failed to “engage” with the applicant’s evidence.</w:t>
      </w:r>
      <w:r w:rsidR="00703DE4" w:rsidRPr="007245E0">
        <w:rPr>
          <w:rStyle w:val="FootnoteReference"/>
          <w:rFonts w:eastAsia="Times New Roman" w:cs="Times New Roman"/>
          <w:szCs w:val="24"/>
          <w:lang w:val="en-GB" w:eastAsia="en-GB"/>
        </w:rPr>
        <w:footnoteReference w:id="67"/>
      </w:r>
      <w:r w:rsidRPr="007245E0">
        <w:rPr>
          <w:rFonts w:eastAsia="Times New Roman" w:cs="Times New Roman"/>
          <w:szCs w:val="24"/>
          <w:lang w:val="en-GB" w:eastAsia="en-GB"/>
        </w:rPr>
        <w:t xml:space="preserve"> These Federal Court cases all addressed decisions made by line decision-makers processing hundred</w:t>
      </w:r>
      <w:r w:rsidR="00703DE4" w:rsidRPr="007245E0">
        <w:rPr>
          <w:rFonts w:eastAsia="Times New Roman" w:cs="Times New Roman"/>
          <w:szCs w:val="24"/>
          <w:lang w:val="en-GB" w:eastAsia="en-GB"/>
        </w:rPr>
        <w:t>s of thousands of applications</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68"/>
      </w:r>
      <w:r w:rsidRPr="007245E0">
        <w:rPr>
          <w:rFonts w:eastAsia="Times New Roman" w:cs="Times New Roman"/>
          <w:szCs w:val="24"/>
          <w:lang w:val="en-GB" w:eastAsia="en-GB"/>
        </w:rPr>
        <w:t xml:space="preserve"> In </w:t>
      </w:r>
      <w:r w:rsidRPr="007245E0">
        <w:rPr>
          <w:rFonts w:eastAsia="Times New Roman" w:cs="Times New Roman"/>
          <w:i/>
          <w:iCs/>
          <w:szCs w:val="24"/>
          <w:lang w:val="en-GB" w:eastAsia="en-GB"/>
        </w:rPr>
        <w:t xml:space="preserve">Rodriguez Martinez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69"/>
      </w:r>
      <w:r w:rsidRPr="007245E0">
        <w:rPr>
          <w:rFonts w:eastAsia="Times New Roman" w:cs="Times New Roman"/>
          <w:szCs w:val="24"/>
          <w:lang w:val="en-GB" w:eastAsia="en-GB"/>
        </w:rPr>
        <w:t xml:space="preserve"> McHaffie J explained that while institutional constraints “must inform the</w:t>
      </w:r>
      <w:r w:rsidR="00703DE4" w:rsidRPr="007245E0">
        <w:rPr>
          <w:rFonts w:eastAsia="Times New Roman" w:cs="Times New Roman"/>
          <w:szCs w:val="24"/>
          <w:lang w:val="en-GB" w:eastAsia="en-GB"/>
        </w:rPr>
        <w:t xml:space="preserve"> assessment of reasonableness</w:t>
      </w:r>
      <w:r w:rsidR="00B97070">
        <w:rPr>
          <w:rFonts w:eastAsia="Times New Roman" w:cs="Times New Roman"/>
          <w:szCs w:val="24"/>
          <w:lang w:val="en-GB" w:eastAsia="en-GB"/>
        </w:rPr>
        <w:t>,</w:t>
      </w:r>
      <w:r w:rsidR="00703DE4"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70"/>
      </w:r>
      <w:r w:rsidR="00B97070">
        <w:rPr>
          <w:rFonts w:eastAsia="Times New Roman" w:cs="Times New Roman"/>
          <w:szCs w:val="24"/>
          <w:lang w:val="en-GB" w:eastAsia="en-GB"/>
        </w:rPr>
        <w:t xml:space="preserve"> a decision-maker—</w:t>
      </w:r>
      <w:r w:rsidRPr="007245E0">
        <w:rPr>
          <w:rFonts w:eastAsia="Times New Roman" w:cs="Times New Roman"/>
          <w:szCs w:val="24"/>
          <w:lang w:val="en-GB" w:eastAsia="en-GB"/>
        </w:rPr>
        <w:t>e</w:t>
      </w:r>
      <w:r w:rsidR="00B97070">
        <w:rPr>
          <w:rFonts w:eastAsia="Times New Roman" w:cs="Times New Roman"/>
          <w:szCs w:val="24"/>
          <w:lang w:val="en-GB" w:eastAsia="en-GB"/>
        </w:rPr>
        <w:t>ven a line decision-maker—</w:t>
      </w:r>
      <w:r w:rsidRPr="007245E0">
        <w:rPr>
          <w:rFonts w:eastAsia="Times New Roman" w:cs="Times New Roman"/>
          <w:szCs w:val="24"/>
          <w:lang w:val="en-GB" w:eastAsia="en-GB"/>
        </w:rPr>
        <w:t>must nonet</w:t>
      </w:r>
      <w:r w:rsidR="00703DE4" w:rsidRPr="007245E0">
        <w:rPr>
          <w:rFonts w:eastAsia="Times New Roman" w:cs="Times New Roman"/>
          <w:szCs w:val="24"/>
          <w:lang w:val="en-GB" w:eastAsia="en-GB"/>
        </w:rPr>
        <w:t>heless respond to the evidence</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71"/>
      </w:r>
      <w:r w:rsidRPr="007245E0">
        <w:rPr>
          <w:rFonts w:eastAsia="Times New Roman" w:cs="Times New Roman"/>
          <w:szCs w:val="24"/>
          <w:lang w:val="en-GB" w:eastAsia="en-GB"/>
        </w:rPr>
        <w:t xml:space="preserve"> Given the emphasis on responsiveness in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and this line of cases, the analysis in </w:t>
      </w:r>
      <w:r w:rsidRPr="007245E0">
        <w:rPr>
          <w:rFonts w:eastAsia="Times New Roman" w:cs="Times New Roman"/>
          <w:i/>
          <w:iCs/>
          <w:szCs w:val="24"/>
          <w:lang w:val="en-GB" w:eastAsia="en-GB"/>
        </w:rPr>
        <w:t>Tarnow v NWT Legal Aid Commission</w:t>
      </w:r>
      <w:r w:rsidR="00703DE4" w:rsidRPr="007245E0">
        <w:rPr>
          <w:rStyle w:val="FootnoteReference"/>
          <w:rFonts w:eastAsia="Times New Roman" w:cs="Times New Roman"/>
          <w:iCs/>
          <w:szCs w:val="24"/>
          <w:lang w:val="en-GB" w:eastAsia="en-GB"/>
        </w:rPr>
        <w:footnoteReference w:id="72"/>
      </w:r>
      <w:r w:rsidRPr="007245E0">
        <w:rPr>
          <w:rFonts w:eastAsia="Times New Roman" w:cs="Times New Roman"/>
          <w:szCs w:val="24"/>
          <w:lang w:val="en-GB" w:eastAsia="en-GB"/>
        </w:rPr>
        <w:t xml:space="preserve"> came as a surprise. Here, a decision not to allocate work to counsel on a legal aid panel who had worked for the Commission in the previous calendar year was considered to be reasonable in view of the “multiple factors”</w:t>
      </w:r>
      <w:r w:rsidR="00703DE4" w:rsidRPr="007245E0">
        <w:rPr>
          <w:rFonts w:eastAsia="Times New Roman" w:cs="Times New Roman"/>
          <w:szCs w:val="24"/>
          <w:lang w:val="en-GB" w:eastAsia="en-GB"/>
        </w:rPr>
        <w:t xml:space="preserve"> the Commission had to balance</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73"/>
      </w:r>
      <w:r w:rsidRPr="007245E0">
        <w:rPr>
          <w:rFonts w:eastAsia="Times New Roman" w:cs="Times New Roman"/>
          <w:szCs w:val="24"/>
          <w:lang w:val="en-GB" w:eastAsia="en-GB"/>
        </w:rPr>
        <w:t xml:space="preserve"> But the fact that work had so recently been assigned to the applicant called, I thi</w:t>
      </w:r>
      <w:r w:rsidR="00703DE4" w:rsidRPr="007245E0">
        <w:rPr>
          <w:rFonts w:eastAsia="Times New Roman" w:cs="Times New Roman"/>
          <w:szCs w:val="24"/>
          <w:lang w:val="en-GB" w:eastAsia="en-GB"/>
        </w:rPr>
        <w:t>nk, for specific justification</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74"/>
      </w:r>
    </w:p>
    <w:p w14:paraId="09B57DC0" w14:textId="391020ED"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The decision of the Ontario Court of Appeal in </w:t>
      </w:r>
      <w:r w:rsidRPr="007245E0">
        <w:rPr>
          <w:rFonts w:eastAsia="Times New Roman" w:cs="Times New Roman"/>
          <w:i/>
          <w:iCs/>
          <w:szCs w:val="24"/>
          <w:lang w:val="en-GB" w:eastAsia="en-GB"/>
        </w:rPr>
        <w:t xml:space="preserve">Romania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Boros</w:t>
      </w:r>
      <w:r w:rsidR="00703DE4" w:rsidRPr="007245E0">
        <w:rPr>
          <w:rStyle w:val="FootnoteReference"/>
          <w:rFonts w:eastAsia="Times New Roman" w:cs="Times New Roman"/>
          <w:szCs w:val="24"/>
          <w:lang w:val="en-GB" w:eastAsia="en-GB"/>
        </w:rPr>
        <w:footnoteReference w:id="75"/>
      </w:r>
      <w:r w:rsidRPr="007245E0">
        <w:rPr>
          <w:rFonts w:eastAsia="Times New Roman" w:cs="Times New Roman"/>
          <w:szCs w:val="24"/>
          <w:lang w:val="en-GB" w:eastAsia="en-GB"/>
        </w:rPr>
        <w:t xml:space="preserve"> warrants a special mention as it was issued in the context of extradition proceedings, where the executive has typically been given a wide margin of appreciation.</w:t>
      </w:r>
      <w:r w:rsidR="00703DE4" w:rsidRPr="007245E0">
        <w:rPr>
          <w:rStyle w:val="FootnoteReference"/>
          <w:rFonts w:eastAsia="Times New Roman" w:cs="Times New Roman"/>
          <w:szCs w:val="24"/>
          <w:lang w:val="en-GB" w:eastAsia="en-GB"/>
        </w:rPr>
        <w:footnoteReference w:id="76"/>
      </w:r>
      <w:r w:rsidRPr="007245E0">
        <w:rPr>
          <w:rFonts w:eastAsia="Times New Roman" w:cs="Times New Roman"/>
          <w:szCs w:val="24"/>
          <w:lang w:val="en-GB" w:eastAsia="en-GB"/>
        </w:rPr>
        <w:t xml:space="preserve"> Although the Minister had provided a lengthy, 20-page letter ordering the surrender of the applicant to Romania, he did not provide an </w:t>
      </w:r>
      <w:r w:rsidRPr="007245E0">
        <w:rPr>
          <w:rFonts w:eastAsia="Times New Roman" w:cs="Times New Roman"/>
          <w:szCs w:val="24"/>
          <w:lang w:val="en-GB" w:eastAsia="en-GB"/>
        </w:rPr>
        <w:lastRenderedPageBreak/>
        <w:t>adequate justification for an eight-year delay in seeking the extradition. The applicant had been convicted in absentia in 2000; there was a dispute about the state of knowledge of the Romanian authorities and, in particular, whether they knew in 1998 that the applicant was in, or soon to arrive in, Canada, long before making the extradition request in 2008. That the “combined Canadian delay of nearly 8 years is not addressed beyond an implicit general claim that these matters take a long time” meant t</w:t>
      </w:r>
      <w:r w:rsidR="00703DE4" w:rsidRPr="007245E0">
        <w:rPr>
          <w:rFonts w:eastAsia="Times New Roman" w:cs="Times New Roman"/>
          <w:szCs w:val="24"/>
          <w:lang w:val="en-GB" w:eastAsia="en-GB"/>
        </w:rPr>
        <w:t>he decision was not “adequate</w:t>
      </w:r>
      <w:r w:rsidR="00B97070">
        <w:rPr>
          <w:rFonts w:eastAsia="Times New Roman" w:cs="Times New Roman"/>
          <w:szCs w:val="24"/>
          <w:lang w:val="en-GB" w:eastAsia="en-GB"/>
        </w:rPr>
        <w:t>.</w:t>
      </w:r>
      <w:r w:rsidR="00703DE4"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77"/>
      </w:r>
      <w:r w:rsidRPr="007245E0">
        <w:rPr>
          <w:rFonts w:eastAsia="Times New Roman" w:cs="Times New Roman"/>
          <w:szCs w:val="24"/>
          <w:lang w:val="en-GB" w:eastAsia="en-GB"/>
        </w:rPr>
        <w:t xml:space="preserve"> Strikingly, although the Supreme Court held in </w:t>
      </w:r>
      <w:r w:rsidRPr="007245E0">
        <w:rPr>
          <w:rFonts w:eastAsia="Times New Roman" w:cs="Times New Roman"/>
          <w:i/>
          <w:iCs/>
          <w:szCs w:val="24"/>
          <w:lang w:val="en-GB" w:eastAsia="en-GB"/>
        </w:rPr>
        <w:t xml:space="preserve">Sriskandarajah </w:t>
      </w:r>
      <w:r w:rsidR="00087CA5">
        <w:rPr>
          <w:rFonts w:eastAsia="Times New Roman" w:cs="Times New Roman"/>
          <w:i/>
          <w:iCs/>
          <w:szCs w:val="24"/>
          <w:lang w:val="en-GB" w:eastAsia="en-GB"/>
        </w:rPr>
        <w:t>v</w:t>
      </w:r>
      <w:r w:rsidRPr="007245E0">
        <w:rPr>
          <w:rFonts w:eastAsia="Times New Roman" w:cs="Times New Roman"/>
          <w:i/>
          <w:iCs/>
          <w:szCs w:val="24"/>
          <w:lang w:val="en-GB" w:eastAsia="en-GB"/>
        </w:rPr>
        <w:t xml:space="preserve"> United States of America</w:t>
      </w:r>
      <w:r w:rsidR="00703DE4" w:rsidRPr="007245E0">
        <w:rPr>
          <w:rStyle w:val="FootnoteReference"/>
          <w:rFonts w:eastAsia="Times New Roman" w:cs="Times New Roman"/>
          <w:szCs w:val="24"/>
          <w:lang w:val="en-GB" w:eastAsia="en-GB"/>
        </w:rPr>
        <w:footnoteReference w:id="78"/>
      </w:r>
      <w:r w:rsidRPr="007245E0">
        <w:rPr>
          <w:rFonts w:eastAsia="Times New Roman" w:cs="Times New Roman"/>
          <w:szCs w:val="24"/>
          <w:lang w:val="en-GB" w:eastAsia="en-GB"/>
        </w:rPr>
        <w:t xml:space="preserve"> that procedural fairness does not require extradition authorities to seek out evidence which may be helpful to an applicant, the Ontario Court of Appeal held in light of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that it was “incumbent upon the Minister to make inquiries” about the point at which the Romanian authorities knew or ought to have known th</w:t>
      </w:r>
      <w:r w:rsidR="00703DE4" w:rsidRPr="007245E0">
        <w:rPr>
          <w:rFonts w:eastAsia="Times New Roman" w:cs="Times New Roman"/>
          <w:szCs w:val="24"/>
          <w:lang w:val="en-GB" w:eastAsia="en-GB"/>
        </w:rPr>
        <w:t>at the applicant was in Canada</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79"/>
      </w:r>
      <w:r w:rsidRPr="007245E0">
        <w:rPr>
          <w:rFonts w:eastAsia="Times New Roman" w:cs="Times New Roman"/>
          <w:szCs w:val="24"/>
          <w:lang w:val="en-GB" w:eastAsia="en-GB"/>
        </w:rPr>
        <w:t xml:space="preserve"> As in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both procedure and substance were considered together, holistically, to justify the conclusion that the decision should be struck down:</w:t>
      </w:r>
    </w:p>
    <w:p w14:paraId="12A5E05B" w14:textId="356D4045" w:rsidR="00C906D6" w:rsidRPr="007245E0" w:rsidRDefault="00C906D6" w:rsidP="00703DE4">
      <w:pPr>
        <w:spacing w:beforeAutospacing="1" w:after="100" w:afterAutospacing="1" w:line="240" w:lineRule="auto"/>
        <w:ind w:left="720"/>
        <w:rPr>
          <w:rFonts w:eastAsia="Times New Roman" w:cs="Times New Roman"/>
          <w:szCs w:val="24"/>
          <w:lang w:val="en-GB" w:eastAsia="en-GB"/>
        </w:rPr>
      </w:pPr>
      <w:r w:rsidRPr="007245E0">
        <w:rPr>
          <w:rFonts w:eastAsia="Times New Roman" w:cs="Times New Roman"/>
          <w:szCs w:val="24"/>
          <w:lang w:val="en-GB" w:eastAsia="en-GB"/>
        </w:rPr>
        <w:t>The delay between [1998] and the issuance of the summons on November 15, 2016 – more than 18 years – has not been properly investigated, nor properly explained. In the circumstances, the surrender order cannot stand. On the existing record, we are unable to determine whether the decision to order Ms. Boros’</w:t>
      </w:r>
      <w:r w:rsidR="00B97070">
        <w:rPr>
          <w:rFonts w:eastAsia="Times New Roman" w:cs="Times New Roman"/>
          <w:szCs w:val="24"/>
          <w:lang w:val="en-GB" w:eastAsia="en-GB"/>
        </w:rPr>
        <w:t>s</w:t>
      </w:r>
      <w:r w:rsidRPr="007245E0">
        <w:rPr>
          <w:rFonts w:eastAsia="Times New Roman" w:cs="Times New Roman"/>
          <w:szCs w:val="24"/>
          <w:lang w:val="en-GB" w:eastAsia="en-GB"/>
        </w:rPr>
        <w:t xml:space="preserve"> surrender was reasonable. More information is required before we can </w:t>
      </w:r>
      <w:r w:rsidR="00703DE4" w:rsidRPr="007245E0">
        <w:rPr>
          <w:rFonts w:eastAsia="Times New Roman" w:cs="Times New Roman"/>
          <w:szCs w:val="24"/>
          <w:lang w:val="en-GB" w:eastAsia="en-GB"/>
        </w:rPr>
        <w:t>properly conduct this analysis</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80"/>
      </w:r>
      <w:r w:rsidRPr="007245E0">
        <w:rPr>
          <w:rFonts w:eastAsia="Times New Roman" w:cs="Times New Roman"/>
          <w:szCs w:val="24"/>
          <w:lang w:val="en-GB" w:eastAsia="en-GB"/>
        </w:rPr>
        <w:t xml:space="preserve"> </w:t>
      </w:r>
    </w:p>
    <w:p w14:paraId="009CBFFB" w14:textId="0F755E65"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i/>
          <w:iCs/>
          <w:szCs w:val="24"/>
          <w:lang w:val="en-GB" w:eastAsia="en-GB"/>
        </w:rPr>
        <w:t xml:space="preserve">Sriskandarajah </w:t>
      </w:r>
      <w:r w:rsidRPr="007245E0">
        <w:rPr>
          <w:rFonts w:eastAsia="Times New Roman" w:cs="Times New Roman"/>
          <w:szCs w:val="24"/>
          <w:lang w:val="en-GB" w:eastAsia="en-GB"/>
        </w:rPr>
        <w:t>was not mentioned</w:t>
      </w:r>
      <w:r w:rsidR="00B97070">
        <w:rPr>
          <w:rFonts w:eastAsia="Times New Roman" w:cs="Times New Roman"/>
          <w:szCs w:val="24"/>
          <w:lang w:val="en-GB" w:eastAsia="en-GB"/>
        </w:rPr>
        <w:t>,</w:t>
      </w:r>
      <w:r w:rsidRPr="007245E0">
        <w:rPr>
          <w:rFonts w:eastAsia="Times New Roman" w:cs="Times New Roman"/>
          <w:szCs w:val="24"/>
          <w:lang w:val="en-GB" w:eastAsia="en-GB"/>
        </w:rPr>
        <w:t xml:space="preserve"> but it is entirely possibl</w:t>
      </w:r>
      <w:r w:rsidR="00B97070">
        <w:rPr>
          <w:rFonts w:eastAsia="Times New Roman" w:cs="Times New Roman"/>
          <w:szCs w:val="24"/>
          <w:lang w:val="en-GB" w:eastAsia="en-GB"/>
        </w:rPr>
        <w:t>e that it has simply been supers</w:t>
      </w:r>
      <w:r w:rsidRPr="007245E0">
        <w:rPr>
          <w:rFonts w:eastAsia="Times New Roman" w:cs="Times New Roman"/>
          <w:szCs w:val="24"/>
          <w:lang w:val="en-GB" w:eastAsia="en-GB"/>
        </w:rPr>
        <w:t xml:space="preserve">eded by the blurring of the line between procedure and substance effected by the emphasis in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on responsiveness.</w:t>
      </w:r>
    </w:p>
    <w:p w14:paraId="187DA726" w14:textId="1008A93E"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Note also Phelan J’s comments in </w:t>
      </w:r>
      <w:r w:rsidRPr="007245E0">
        <w:rPr>
          <w:rFonts w:eastAsia="Times New Roman" w:cs="Times New Roman"/>
          <w:i/>
          <w:iCs/>
          <w:szCs w:val="24"/>
          <w:lang w:val="en-GB" w:eastAsia="en-GB"/>
        </w:rPr>
        <w:t>Enn</w:t>
      </w:r>
      <w:r w:rsidR="00703DE4" w:rsidRPr="007245E0">
        <w:rPr>
          <w:rFonts w:eastAsia="Times New Roman" w:cs="Times New Roman"/>
          <w:i/>
          <w:iCs/>
          <w:szCs w:val="24"/>
          <w:lang w:val="en-GB" w:eastAsia="en-GB"/>
        </w:rPr>
        <w:t xml:space="preserve">is </w:t>
      </w:r>
      <w:r w:rsidR="00087CA5">
        <w:rPr>
          <w:rFonts w:eastAsia="Times New Roman" w:cs="Times New Roman"/>
          <w:i/>
          <w:iCs/>
          <w:szCs w:val="24"/>
          <w:lang w:val="en-GB" w:eastAsia="en-GB"/>
        </w:rPr>
        <w:t>v</w:t>
      </w:r>
      <w:r w:rsidR="00703DE4" w:rsidRPr="007245E0">
        <w:rPr>
          <w:rFonts w:eastAsia="Times New Roman" w:cs="Times New Roman"/>
          <w:i/>
          <w:iCs/>
          <w:szCs w:val="24"/>
          <w:lang w:val="en-GB" w:eastAsia="en-GB"/>
        </w:rPr>
        <w:t xml:space="preserve"> Canada (</w:t>
      </w:r>
      <w:r w:rsidR="008531FD">
        <w:rPr>
          <w:rFonts w:eastAsia="Times New Roman" w:cs="Times New Roman"/>
          <w:i/>
          <w:iCs/>
          <w:szCs w:val="24"/>
          <w:lang w:val="en-GB" w:eastAsia="en-GB"/>
        </w:rPr>
        <w:t>AG</w:t>
      </w:r>
      <w:r w:rsidR="00703DE4" w:rsidRPr="007245E0">
        <w:rPr>
          <w:rFonts w:eastAsia="Times New Roman" w:cs="Times New Roman"/>
          <w:i/>
          <w:iCs/>
          <w:szCs w:val="24"/>
          <w:lang w:val="en-GB" w:eastAsia="en-GB"/>
        </w:rPr>
        <w:t>)</w:t>
      </w:r>
      <w:r w:rsidRPr="007245E0">
        <w:rPr>
          <w:rFonts w:eastAsia="Times New Roman" w:cs="Times New Roman"/>
          <w:szCs w:val="24"/>
          <w:lang w:val="en-GB" w:eastAsia="en-GB"/>
        </w:rPr>
        <w:t xml:space="preserve">, </w:t>
      </w:r>
      <w:r w:rsidR="00B97070">
        <w:rPr>
          <w:rFonts w:eastAsia="Times New Roman" w:cs="Times New Roman"/>
          <w:szCs w:val="24"/>
          <w:lang w:val="en-GB" w:eastAsia="en-GB"/>
        </w:rPr>
        <w:t>in which</w:t>
      </w:r>
      <w:r w:rsidRPr="007245E0">
        <w:rPr>
          <w:rFonts w:eastAsia="Times New Roman" w:cs="Times New Roman"/>
          <w:szCs w:val="24"/>
          <w:lang w:val="en-GB" w:eastAsia="en-GB"/>
        </w:rPr>
        <w:t xml:space="preserve"> he quashed a decision of the Canadian Human Rights Commission not to refer Ennis’s complaint for a tribunal hearing in the face of an investigator’s report recommending a hearing: </w:t>
      </w:r>
    </w:p>
    <w:p w14:paraId="278221AB" w14:textId="77777777" w:rsidR="00C906D6" w:rsidRPr="007245E0" w:rsidRDefault="00C906D6" w:rsidP="00703DE4">
      <w:pPr>
        <w:spacing w:beforeAutospacing="1" w:after="100" w:afterAutospacing="1" w:line="240" w:lineRule="auto"/>
        <w:ind w:left="720"/>
        <w:rPr>
          <w:rFonts w:eastAsia="Times New Roman" w:cs="Times New Roman"/>
          <w:szCs w:val="24"/>
          <w:lang w:val="en-GB" w:eastAsia="en-GB"/>
        </w:rPr>
      </w:pPr>
      <w:r w:rsidRPr="007245E0">
        <w:rPr>
          <w:rFonts w:eastAsia="Times New Roman" w:cs="Times New Roman"/>
          <w:szCs w:val="24"/>
          <w:lang w:val="en-GB" w:eastAsia="en-GB"/>
        </w:rPr>
        <w:t xml:space="preserve">The Supreme Court’s analytical framework for reasonableness review reflects much of the work of this Court in this area. Therefore, this Court’s decisions relevant to the issues here are relevant and binding authority and have not been altered by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except to emphasise that reasonableness rev</w:t>
      </w:r>
      <w:r w:rsidR="00703DE4" w:rsidRPr="007245E0">
        <w:rPr>
          <w:rFonts w:eastAsia="Times New Roman" w:cs="Times New Roman"/>
          <w:szCs w:val="24"/>
          <w:lang w:val="en-GB" w:eastAsia="en-GB"/>
        </w:rPr>
        <w:t>iew is to be a vigorous review</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81"/>
      </w:r>
      <w:r w:rsidRPr="007245E0">
        <w:rPr>
          <w:rFonts w:eastAsia="Times New Roman" w:cs="Times New Roman"/>
          <w:szCs w:val="24"/>
          <w:lang w:val="en-GB" w:eastAsia="en-GB"/>
        </w:rPr>
        <w:t xml:space="preserve"> </w:t>
      </w:r>
    </w:p>
    <w:p w14:paraId="46525953" w14:textId="3B476F7B"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There have also been a number of Federal Court cases in which decisions were struck down for unreasonableness because the decision-maker </w:t>
      </w:r>
      <w:r w:rsidRPr="007245E0">
        <w:rPr>
          <w:rFonts w:eastAsia="Times New Roman" w:cs="Times New Roman"/>
          <w:bCs/>
          <w:szCs w:val="24"/>
          <w:lang w:val="en-GB" w:eastAsia="en-GB"/>
        </w:rPr>
        <w:t>failed to grapple with relevant factors</w:t>
      </w:r>
      <w:r w:rsidRPr="007245E0">
        <w:rPr>
          <w:rFonts w:eastAsia="Times New Roman" w:cs="Times New Roman"/>
          <w:szCs w:val="24"/>
          <w:lang w:val="en-GB" w:eastAsia="en-GB"/>
        </w:rPr>
        <w:t xml:space="preserve"> as established </w:t>
      </w:r>
      <w:r w:rsidR="00703DE4" w:rsidRPr="007245E0">
        <w:rPr>
          <w:rFonts w:eastAsia="Times New Roman" w:cs="Times New Roman"/>
          <w:szCs w:val="24"/>
          <w:lang w:val="en-GB" w:eastAsia="en-GB"/>
        </w:rPr>
        <w:t>by prior judicial jurisprudence</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82"/>
      </w:r>
      <w:r w:rsidRPr="007245E0">
        <w:rPr>
          <w:rFonts w:eastAsia="Times New Roman" w:cs="Times New Roman"/>
          <w:szCs w:val="24"/>
          <w:lang w:val="en-GB" w:eastAsia="en-GB"/>
        </w:rPr>
        <w:t xml:space="preserve"> Note that the unreasonableness here resulted from failures to seriously consider the factors at all: it might, in principle, be permissible for decision-makers to deviate from judicial decisions</w:t>
      </w:r>
      <w:r w:rsidR="00B97070">
        <w:rPr>
          <w:rFonts w:eastAsia="Times New Roman" w:cs="Times New Roman"/>
          <w:szCs w:val="24"/>
          <w:lang w:val="en-GB" w:eastAsia="en-GB"/>
        </w:rPr>
        <w:t>,</w:t>
      </w:r>
      <w:r w:rsidRPr="007245E0">
        <w:rPr>
          <w:rFonts w:eastAsia="Times New Roman" w:cs="Times New Roman"/>
          <w:szCs w:val="24"/>
          <w:lang w:val="en-GB" w:eastAsia="en-GB"/>
        </w:rPr>
        <w:t xml:space="preserve"> but obviously they bear a justif</w:t>
      </w:r>
      <w:r w:rsidR="00703DE4" w:rsidRPr="007245E0">
        <w:rPr>
          <w:rFonts w:eastAsia="Times New Roman" w:cs="Times New Roman"/>
          <w:szCs w:val="24"/>
          <w:lang w:val="en-GB" w:eastAsia="en-GB"/>
        </w:rPr>
        <w:t xml:space="preserve">icatory </w:t>
      </w:r>
      <w:r w:rsidR="00703DE4" w:rsidRPr="007245E0">
        <w:rPr>
          <w:rFonts w:eastAsia="Times New Roman" w:cs="Times New Roman"/>
          <w:szCs w:val="24"/>
          <w:lang w:val="en-GB" w:eastAsia="en-GB"/>
        </w:rPr>
        <w:lastRenderedPageBreak/>
        <w:t>burden when they do so</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83"/>
      </w:r>
      <w:r w:rsidRPr="007245E0">
        <w:rPr>
          <w:rFonts w:eastAsia="Times New Roman" w:cs="Times New Roman"/>
          <w:szCs w:val="24"/>
          <w:lang w:val="en-GB" w:eastAsia="en-GB"/>
        </w:rPr>
        <w:t xml:space="preserve"> Consistency with prior judicial jurisprudence will, by contrast, indicate that a decision is reasonabl</w:t>
      </w:r>
      <w:r w:rsidR="00703DE4" w:rsidRPr="007245E0">
        <w:rPr>
          <w:rFonts w:eastAsia="Times New Roman" w:cs="Times New Roman"/>
          <w:szCs w:val="24"/>
          <w:lang w:val="en-GB" w:eastAsia="en-GB"/>
        </w:rPr>
        <w:t>e</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84"/>
      </w:r>
    </w:p>
    <w:p w14:paraId="6039B030" w14:textId="30B70652"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Moreover, as Diner J sagely noted in </w:t>
      </w:r>
      <w:r w:rsidRPr="007245E0">
        <w:rPr>
          <w:rFonts w:eastAsia="Times New Roman" w:cs="Times New Roman"/>
          <w:i/>
          <w:iCs/>
          <w:szCs w:val="24"/>
          <w:lang w:val="en-GB" w:eastAsia="en-GB"/>
        </w:rPr>
        <w:t>Ortiz</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xml:space="preserve">, whereas under </w:t>
      </w:r>
      <w:r w:rsidRPr="007245E0">
        <w:rPr>
          <w:rFonts w:eastAsia="Times New Roman" w:cs="Times New Roman"/>
          <w:i/>
          <w:iCs/>
          <w:szCs w:val="24"/>
          <w:lang w:val="en-GB" w:eastAsia="en-GB"/>
        </w:rPr>
        <w:t xml:space="preserve">Dunsmuir </w:t>
      </w:r>
      <w:r w:rsidRPr="007245E0">
        <w:rPr>
          <w:rFonts w:eastAsia="Times New Roman" w:cs="Times New Roman"/>
          <w:szCs w:val="24"/>
          <w:lang w:val="en-GB" w:eastAsia="en-GB"/>
        </w:rPr>
        <w:t xml:space="preserve">reviewing courts began with the outcome and then looked back at the reasons,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instructs them “to start with the reasons, and assess whether they justify the outcome</w:t>
      </w:r>
      <w:r w:rsidR="00B97070">
        <w:rPr>
          <w:rFonts w:eastAsia="Times New Roman" w:cs="Times New Roman"/>
          <w:szCs w:val="24"/>
          <w:lang w:val="en-GB" w:eastAsia="en-GB"/>
        </w:rPr>
        <w:t>.</w:t>
      </w:r>
      <w:r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85"/>
      </w:r>
      <w:r w:rsidR="00B97070">
        <w:rPr>
          <w:rFonts w:eastAsia="Times New Roman" w:cs="Times New Roman"/>
          <w:szCs w:val="24"/>
          <w:lang w:val="en-GB" w:eastAsia="en-GB"/>
        </w:rPr>
        <w:t xml:space="preserve"> I</w:t>
      </w:r>
      <w:r w:rsidRPr="007245E0">
        <w:rPr>
          <w:rFonts w:eastAsia="Times New Roman" w:cs="Times New Roman"/>
          <w:szCs w:val="24"/>
          <w:lang w:val="en-GB" w:eastAsia="en-GB"/>
        </w:rPr>
        <w:t>n light of the decisions emphasizing the importance of responsiveness, I think it is too early to say categorically that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does not constitute a significant change in the law of judicial review with respect to the review of the reason</w:t>
      </w:r>
      <w:r w:rsidR="00703DE4" w:rsidRPr="007245E0">
        <w:rPr>
          <w:rFonts w:eastAsia="Times New Roman" w:cs="Times New Roman"/>
          <w:szCs w:val="24"/>
          <w:lang w:val="en-GB" w:eastAsia="en-GB"/>
        </w:rPr>
        <w:t>s of administrative tribunals</w:t>
      </w:r>
      <w:r w:rsidR="00B97070">
        <w:rPr>
          <w:rFonts w:eastAsia="Times New Roman" w:cs="Times New Roman"/>
          <w:szCs w:val="24"/>
          <w:lang w:val="en-GB" w:eastAsia="en-GB"/>
        </w:rPr>
        <w:t>.</w:t>
      </w:r>
      <w:r w:rsidR="00703DE4" w:rsidRPr="007245E0">
        <w:rPr>
          <w:rFonts w:eastAsia="Times New Roman" w:cs="Times New Roman"/>
          <w:szCs w:val="24"/>
          <w:lang w:val="en-GB" w:eastAsia="en-GB"/>
        </w:rPr>
        <w:t>”</w:t>
      </w:r>
      <w:r w:rsidR="00703DE4" w:rsidRPr="007245E0">
        <w:rPr>
          <w:rStyle w:val="FootnoteReference"/>
          <w:rFonts w:eastAsia="Times New Roman" w:cs="Times New Roman"/>
          <w:szCs w:val="24"/>
          <w:lang w:val="en-GB" w:eastAsia="en-GB"/>
        </w:rPr>
        <w:footnoteReference w:id="86"/>
      </w:r>
      <w:r w:rsidRPr="007245E0">
        <w:rPr>
          <w:rFonts w:eastAsia="Times New Roman" w:cs="Times New Roman"/>
          <w:szCs w:val="24"/>
          <w:lang w:val="en-GB" w:eastAsia="en-GB"/>
        </w:rPr>
        <w:t xml:space="preserve"> </w:t>
      </w:r>
    </w:p>
    <w:p w14:paraId="2028FA4E" w14:textId="77777777" w:rsidR="00B35F86" w:rsidRPr="00195300" w:rsidRDefault="00B35F86" w:rsidP="00B35F86">
      <w:pPr>
        <w:pStyle w:val="Heading2"/>
        <w:rPr>
          <w:rFonts w:eastAsia="Times New Roman"/>
          <w:b/>
          <w:u w:val="none"/>
          <w:lang w:val="en-GB" w:eastAsia="en-GB"/>
        </w:rPr>
      </w:pPr>
      <w:r w:rsidRPr="00195300">
        <w:rPr>
          <w:rFonts w:eastAsia="Times New Roman"/>
          <w:b/>
          <w:u w:val="none"/>
          <w:lang w:val="en-GB" w:eastAsia="en-GB"/>
        </w:rPr>
        <w:t>Reasonableness Review in the Absence of Reasons</w:t>
      </w:r>
    </w:p>
    <w:p w14:paraId="5F174625" w14:textId="41B21384"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Different considerations might apply, however, in the context of judicial review of </w:t>
      </w:r>
      <w:r w:rsidRPr="007245E0">
        <w:rPr>
          <w:rFonts w:eastAsia="Times New Roman" w:cs="Times New Roman"/>
          <w:bCs/>
          <w:szCs w:val="24"/>
          <w:lang w:val="en-GB" w:eastAsia="en-GB"/>
        </w:rPr>
        <w:t>legislative-type decisions for which contemporaneous reasons were not provided</w:t>
      </w:r>
      <w:r w:rsidRPr="007245E0">
        <w:rPr>
          <w:rFonts w:eastAsia="Times New Roman" w:cs="Times New Roman"/>
          <w:szCs w:val="24"/>
          <w:lang w:val="en-GB" w:eastAsia="en-GB"/>
        </w:rPr>
        <w:t xml:space="preserve">. In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the Supreme Court left the door open to focusing on the outcome of a decision-making process in situations where reasons are not provided.</w:t>
      </w:r>
      <w:r w:rsidR="00B35F86" w:rsidRPr="007245E0">
        <w:rPr>
          <w:rStyle w:val="FootnoteReference"/>
          <w:rFonts w:eastAsia="Times New Roman" w:cs="Times New Roman"/>
          <w:szCs w:val="24"/>
          <w:lang w:val="en-GB" w:eastAsia="en-GB"/>
        </w:rPr>
        <w:footnoteReference w:id="87"/>
      </w:r>
      <w:r w:rsidRPr="007245E0">
        <w:rPr>
          <w:rFonts w:eastAsia="Times New Roman" w:cs="Times New Roman"/>
          <w:szCs w:val="24"/>
          <w:lang w:val="en-GB" w:eastAsia="en-GB"/>
        </w:rPr>
        <w:t xml:space="preserve"> Accordingly, in </w:t>
      </w:r>
      <w:r w:rsidRPr="007245E0">
        <w:rPr>
          <w:rFonts w:eastAsia="Times New Roman" w:cs="Times New Roman"/>
          <w:i/>
          <w:iCs/>
          <w:szCs w:val="24"/>
          <w:lang w:val="en-GB" w:eastAsia="en-GB"/>
        </w:rPr>
        <w:t>1120732 BC Ltd</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Whistler (Resort Municipality)</w:t>
      </w:r>
      <w:r w:rsidRPr="007245E0">
        <w:rPr>
          <w:rFonts w:eastAsia="Times New Roman" w:cs="Times New Roman"/>
          <w:szCs w:val="24"/>
          <w:lang w:val="en-GB" w:eastAsia="en-GB"/>
        </w:rPr>
        <w:t xml:space="preserve">, Tysoe JA held that the enactment of a municipal by-law was reasonable on the basis </w:t>
      </w:r>
      <w:r w:rsidR="00B97070">
        <w:rPr>
          <w:rFonts w:eastAsia="Times New Roman" w:cs="Times New Roman"/>
          <w:szCs w:val="24"/>
          <w:lang w:val="en-GB" w:eastAsia="en-GB"/>
        </w:rPr>
        <w:t xml:space="preserve">that </w:t>
      </w:r>
      <w:r w:rsidRPr="007245E0">
        <w:rPr>
          <w:rFonts w:eastAsia="Times New Roman" w:cs="Times New Roman"/>
          <w:szCs w:val="24"/>
          <w:lang w:val="en-GB" w:eastAsia="en-GB"/>
        </w:rPr>
        <w:t>there were “at least three ways in which the Municipality’s council could have reasonably concluded” it had the necessary statutory authority.</w:t>
      </w:r>
      <w:r w:rsidR="00B35F86" w:rsidRPr="007245E0">
        <w:rPr>
          <w:rStyle w:val="FootnoteReference"/>
          <w:rFonts w:eastAsia="Times New Roman" w:cs="Times New Roman"/>
          <w:szCs w:val="24"/>
          <w:lang w:val="en-GB" w:eastAsia="en-GB"/>
        </w:rPr>
        <w:footnoteReference w:id="88"/>
      </w:r>
      <w:r w:rsidRPr="007245E0">
        <w:rPr>
          <w:rFonts w:eastAsia="Times New Roman" w:cs="Times New Roman"/>
          <w:szCs w:val="24"/>
          <w:lang w:val="en-GB" w:eastAsia="en-GB"/>
        </w:rPr>
        <w:t xml:space="preserve"> This seems to me to be an accurate application of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but one which is jarring to read given the stark contrast it creates with the post-</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jurisprudence </w:t>
      </w:r>
      <w:r w:rsidR="00B97070">
        <w:rPr>
          <w:rFonts w:eastAsia="Times New Roman" w:cs="Times New Roman"/>
          <w:szCs w:val="24"/>
          <w:lang w:val="en-GB" w:eastAsia="en-GB"/>
        </w:rPr>
        <w:t>that emphasizes</w:t>
      </w:r>
      <w:r w:rsidRPr="007245E0">
        <w:rPr>
          <w:rFonts w:eastAsia="Times New Roman" w:cs="Times New Roman"/>
          <w:szCs w:val="24"/>
          <w:lang w:val="en-GB" w:eastAsia="en-GB"/>
        </w:rPr>
        <w:t xml:space="preserve"> the importance of responsiveness and justification. Moreover, the application of reasonableness review in a context where municipalities already benefit from a broad and purposive approach to the interpretation of their jurisdiction has the potential to give these bodies a significant degree of regulatory authority, exerci</w:t>
      </w:r>
      <w:r w:rsidR="00B35F86" w:rsidRPr="007245E0">
        <w:rPr>
          <w:rFonts w:eastAsia="Times New Roman" w:cs="Times New Roman"/>
          <w:szCs w:val="24"/>
          <w:lang w:val="en-GB" w:eastAsia="en-GB"/>
        </w:rPr>
        <w:t>sable without detailed reasons</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89"/>
      </w:r>
      <w:r w:rsidRPr="007245E0">
        <w:rPr>
          <w:rFonts w:eastAsia="Times New Roman" w:cs="Times New Roman"/>
          <w:szCs w:val="24"/>
          <w:lang w:val="en-GB" w:eastAsia="en-GB"/>
        </w:rPr>
        <w:t xml:space="preserve"> Of course, it will not invariably be the case that reasons or reasoning are entirely absent in cases involving municipal by-laws; if so, the judicial revie</w:t>
      </w:r>
      <w:r w:rsidR="00B35F86" w:rsidRPr="007245E0">
        <w:rPr>
          <w:rFonts w:eastAsia="Times New Roman" w:cs="Times New Roman"/>
          <w:szCs w:val="24"/>
          <w:lang w:val="en-GB" w:eastAsia="en-GB"/>
        </w:rPr>
        <w:t>w will look quite conventional</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90"/>
      </w:r>
    </w:p>
    <w:p w14:paraId="1AEAE20B" w14:textId="77777777" w:rsidR="00B35F86" w:rsidRPr="00195300" w:rsidRDefault="00B35F86" w:rsidP="00B35F86">
      <w:pPr>
        <w:pStyle w:val="Heading2"/>
        <w:rPr>
          <w:rFonts w:eastAsia="Times New Roman"/>
          <w:b/>
          <w:u w:val="none"/>
          <w:lang w:val="en-GB" w:eastAsia="en-GB"/>
        </w:rPr>
      </w:pPr>
      <w:r w:rsidRPr="00195300">
        <w:rPr>
          <w:rFonts w:eastAsia="Times New Roman"/>
          <w:b/>
          <w:u w:val="none"/>
          <w:lang w:val="en-GB" w:eastAsia="en-GB"/>
        </w:rPr>
        <w:t>Palpable and Overriding Error</w:t>
      </w:r>
    </w:p>
    <w:p w14:paraId="3FEE895A" w14:textId="77777777"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On the general issue of </w:t>
      </w:r>
      <w:r w:rsidRPr="007245E0">
        <w:rPr>
          <w:rFonts w:eastAsia="Times New Roman" w:cs="Times New Roman"/>
          <w:bCs/>
          <w:szCs w:val="24"/>
          <w:lang w:val="en-GB" w:eastAsia="en-GB"/>
        </w:rPr>
        <w:t xml:space="preserve">whether </w:t>
      </w:r>
      <w:r w:rsidRPr="007245E0">
        <w:rPr>
          <w:rFonts w:eastAsia="Times New Roman" w:cs="Times New Roman"/>
          <w:bCs/>
          <w:i/>
          <w:iCs/>
          <w:szCs w:val="24"/>
          <w:lang w:val="en-GB" w:eastAsia="en-GB"/>
        </w:rPr>
        <w:t xml:space="preserve">Vavilovian </w:t>
      </w:r>
      <w:r w:rsidRPr="007245E0">
        <w:rPr>
          <w:rFonts w:eastAsia="Times New Roman" w:cs="Times New Roman"/>
          <w:bCs/>
          <w:szCs w:val="24"/>
          <w:lang w:val="en-GB" w:eastAsia="en-GB"/>
        </w:rPr>
        <w:t>reasonableness review is more or less robust than the palpable and overriding error standard</w:t>
      </w:r>
      <w:r w:rsidRPr="007245E0">
        <w:rPr>
          <w:rFonts w:eastAsia="Times New Roman" w:cs="Times New Roman"/>
          <w:szCs w:val="24"/>
          <w:lang w:val="en-GB" w:eastAsia="en-GB"/>
        </w:rPr>
        <w:t xml:space="preserve"> applicable to mixed questions of fact and law in statutory appeals, see </w:t>
      </w:r>
      <w:r w:rsidRPr="007245E0">
        <w:rPr>
          <w:rFonts w:eastAsia="Times New Roman" w:cs="Times New Roman"/>
          <w:i/>
          <w:iCs/>
          <w:szCs w:val="24"/>
          <w:lang w:val="en-GB" w:eastAsia="en-GB"/>
        </w:rPr>
        <w:t>Al-Ghamdi v College of Physicians and Surgeons of Alberta</w:t>
      </w:r>
      <w:r w:rsidRPr="007245E0">
        <w:rPr>
          <w:rFonts w:eastAsia="Times New Roman" w:cs="Times New Roman"/>
          <w:szCs w:val="24"/>
          <w:lang w:val="en-GB" w:eastAsia="en-GB"/>
        </w:rPr>
        <w:t>, where the Court explained, at the outset, the wide scope of the issues subject to the palpable and overriding error standard:</w:t>
      </w:r>
    </w:p>
    <w:p w14:paraId="3D1814DE" w14:textId="77777777" w:rsidR="00C906D6" w:rsidRPr="007245E0" w:rsidRDefault="00C906D6" w:rsidP="00B35F86">
      <w:pPr>
        <w:spacing w:beforeAutospacing="1" w:after="100" w:afterAutospacing="1" w:line="240" w:lineRule="auto"/>
        <w:ind w:left="720"/>
        <w:rPr>
          <w:rFonts w:eastAsia="Times New Roman" w:cs="Times New Roman"/>
          <w:szCs w:val="24"/>
          <w:lang w:val="en-GB" w:eastAsia="en-GB"/>
        </w:rPr>
      </w:pPr>
      <w:r w:rsidRPr="007245E0">
        <w:rPr>
          <w:rFonts w:eastAsia="Times New Roman" w:cs="Times New Roman"/>
          <w:szCs w:val="24"/>
          <w:lang w:val="en-GB" w:eastAsia="en-GB"/>
        </w:rPr>
        <w:t xml:space="preserve">In professional disciplinary appeals, interpretation of the governing statute is reviewed for correctness. Important questions of mixed fact and law calling for </w:t>
      </w:r>
      <w:r w:rsidRPr="007245E0">
        <w:rPr>
          <w:rFonts w:eastAsia="Times New Roman" w:cs="Times New Roman"/>
          <w:szCs w:val="24"/>
          <w:lang w:val="en-GB" w:eastAsia="en-GB"/>
        </w:rPr>
        <w:lastRenderedPageBreak/>
        <w:t>deference by a reviewing court will often include i) the standard of practice the profession expects in any particular case, and ii) whether, on the facts, the professional subjected to discipline has met that standard.</w:t>
      </w:r>
      <w:r w:rsidR="00B35F86" w:rsidRPr="007245E0">
        <w:rPr>
          <w:rStyle w:val="FootnoteReference"/>
          <w:rFonts w:eastAsia="Times New Roman" w:cs="Times New Roman"/>
          <w:szCs w:val="24"/>
          <w:lang w:val="en-GB" w:eastAsia="en-GB"/>
        </w:rPr>
        <w:footnoteReference w:id="91"/>
      </w:r>
      <w:r w:rsidRPr="007245E0">
        <w:rPr>
          <w:rFonts w:eastAsia="Times New Roman" w:cs="Times New Roman"/>
          <w:szCs w:val="24"/>
          <w:lang w:val="en-GB" w:eastAsia="en-GB"/>
        </w:rPr>
        <w:t xml:space="preserve"> </w:t>
      </w:r>
    </w:p>
    <w:p w14:paraId="5FE553F3" w14:textId="70F2E273"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Although the College had “improperly relied” on some evidence and overemphasized the importance of a human rights complaint made by the appellant, “those errors were not sufficient to undermine the overall findi</w:t>
      </w:r>
      <w:r w:rsidR="00B35F86" w:rsidRPr="007245E0">
        <w:rPr>
          <w:rFonts w:eastAsia="Times New Roman" w:cs="Times New Roman"/>
          <w:szCs w:val="24"/>
          <w:lang w:val="en-GB" w:eastAsia="en-GB"/>
        </w:rPr>
        <w:t>ng of professional misconduct</w:t>
      </w:r>
      <w:r w:rsidR="00FB2A1F">
        <w:rPr>
          <w:rFonts w:eastAsia="Times New Roman" w:cs="Times New Roman"/>
          <w:szCs w:val="24"/>
          <w:lang w:val="en-GB" w:eastAsia="en-GB"/>
        </w:rPr>
        <w:t>.</w:t>
      </w:r>
      <w:r w:rsidR="00B35F86"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92"/>
      </w:r>
      <w:r w:rsidRPr="007245E0">
        <w:rPr>
          <w:rFonts w:eastAsia="Times New Roman" w:cs="Times New Roman"/>
          <w:szCs w:val="24"/>
          <w:lang w:val="en-GB" w:eastAsia="en-GB"/>
        </w:rPr>
        <w:t xml:space="preserve"> </w:t>
      </w:r>
      <w:r w:rsidR="00FB2A1F">
        <w:rPr>
          <w:rFonts w:eastAsia="Times New Roman" w:cs="Times New Roman"/>
          <w:szCs w:val="24"/>
          <w:lang w:val="en-GB" w:eastAsia="en-GB"/>
        </w:rPr>
        <w:t xml:space="preserve">Consider </w:t>
      </w:r>
      <w:r w:rsidRPr="007245E0">
        <w:rPr>
          <w:rFonts w:eastAsia="Times New Roman" w:cs="Times New Roman"/>
          <w:szCs w:val="24"/>
          <w:lang w:val="en-GB" w:eastAsia="en-GB"/>
        </w:rPr>
        <w:t xml:space="preserve">whether these would have been considered to be problematic on reasonableness review (and, if so, whether the appellant would find it odd that a statutory appeal mechanism would be less favourable to him than an application for judicial review). In </w:t>
      </w:r>
      <w:r w:rsidRPr="007245E0">
        <w:rPr>
          <w:rFonts w:eastAsia="Times New Roman" w:cs="Times New Roman"/>
          <w:i/>
          <w:iCs/>
          <w:szCs w:val="24"/>
          <w:lang w:val="en-GB" w:eastAsia="en-GB"/>
        </w:rPr>
        <w:t>Mayer v The Superintendent Of Motor Vehicles</w:t>
      </w:r>
      <w:r w:rsidRPr="007245E0">
        <w:rPr>
          <w:rFonts w:eastAsia="Times New Roman" w:cs="Times New Roman"/>
          <w:szCs w:val="24"/>
          <w:lang w:val="en-GB" w:eastAsia="en-GB"/>
        </w:rPr>
        <w:t>, Forth J was quite clear that “sufficiency of reasons is not a stand-alone basis for interfering with a decision on appeal” and observed, moreover, that a right of appeal does not necessarily require an “exacting review”:</w:t>
      </w:r>
      <w:r w:rsidR="00B35F86" w:rsidRPr="007245E0">
        <w:rPr>
          <w:rStyle w:val="FootnoteReference"/>
          <w:rFonts w:eastAsia="Times New Roman" w:cs="Times New Roman"/>
          <w:szCs w:val="24"/>
          <w:lang w:val="en-GB" w:eastAsia="en-GB"/>
        </w:rPr>
        <w:footnoteReference w:id="93"/>
      </w:r>
      <w:r w:rsidRPr="007245E0">
        <w:rPr>
          <w:rFonts w:eastAsia="Times New Roman" w:cs="Times New Roman"/>
          <w:szCs w:val="24"/>
          <w:lang w:val="en-GB" w:eastAsia="en-GB"/>
        </w:rPr>
        <w:t xml:space="preserve"> “Instead, it may be that the legislature wished to prescribe the parameters of review, to circumscribe the role of the reviewing court</w:t>
      </w:r>
      <w:r w:rsidR="00FB2A1F">
        <w:rPr>
          <w:rFonts w:eastAsia="Times New Roman" w:cs="Times New Roman"/>
          <w:szCs w:val="24"/>
          <w:lang w:val="en-GB" w:eastAsia="en-GB"/>
        </w:rPr>
        <w:t>,</w:t>
      </w:r>
      <w:r w:rsidRPr="007245E0">
        <w:rPr>
          <w:rFonts w:eastAsia="Times New Roman" w:cs="Times New Roman"/>
          <w:szCs w:val="24"/>
          <w:lang w:val="en-GB" w:eastAsia="en-GB"/>
        </w:rPr>
        <w:t xml:space="preserve"> and to ensure that the decision </w:t>
      </w:r>
      <w:r w:rsidR="00B35F86" w:rsidRPr="007245E0">
        <w:rPr>
          <w:rFonts w:eastAsia="Times New Roman" w:cs="Times New Roman"/>
          <w:szCs w:val="24"/>
          <w:lang w:val="en-GB" w:eastAsia="en-GB"/>
        </w:rPr>
        <w:t>is not unduly interfered with</w:t>
      </w:r>
      <w:r w:rsidR="00FB2A1F">
        <w:rPr>
          <w:rFonts w:eastAsia="Times New Roman" w:cs="Times New Roman"/>
          <w:szCs w:val="24"/>
          <w:lang w:val="en-GB" w:eastAsia="en-GB"/>
        </w:rPr>
        <w:t>.</w:t>
      </w:r>
      <w:r w:rsidR="00B35F86"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94"/>
      </w:r>
      <w:r w:rsidRPr="007245E0">
        <w:rPr>
          <w:rFonts w:eastAsia="Times New Roman" w:cs="Times New Roman"/>
          <w:szCs w:val="24"/>
          <w:lang w:val="en-GB" w:eastAsia="en-GB"/>
        </w:rPr>
        <w:t xml:space="preserve"> She held that there was sufficient information in the record to justify the impugned decis</w:t>
      </w:r>
      <w:r w:rsidR="00B35F86" w:rsidRPr="007245E0">
        <w:rPr>
          <w:rFonts w:eastAsia="Times New Roman" w:cs="Times New Roman"/>
          <w:szCs w:val="24"/>
          <w:lang w:val="en-GB" w:eastAsia="en-GB"/>
        </w:rPr>
        <w:t>ion</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95"/>
      </w:r>
    </w:p>
    <w:p w14:paraId="7BD2802B" w14:textId="2F1E279A"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There is, albeit in the context of a judicial review application, a neat example of a palpable and overriding error in </w:t>
      </w:r>
      <w:r w:rsidRPr="007245E0">
        <w:rPr>
          <w:rFonts w:eastAsia="Times New Roman" w:cs="Times New Roman"/>
          <w:i/>
          <w:iCs/>
          <w:szCs w:val="24"/>
          <w:lang w:val="en-GB" w:eastAsia="en-GB"/>
        </w:rPr>
        <w:t>Syndicat des métallos, section locale 9449</w:t>
      </w:r>
      <w:r w:rsidR="00FB0A84">
        <w:rPr>
          <w:rFonts w:eastAsia="Times New Roman" w:cs="Times New Roman"/>
          <w:i/>
          <w:iCs/>
          <w:szCs w:val="24"/>
          <w:lang w:val="en-GB" w:eastAsia="en-GB"/>
        </w:rPr>
        <w:t xml:space="preserve"> c</w:t>
      </w:r>
      <w:r w:rsidRPr="007245E0">
        <w:rPr>
          <w:rFonts w:eastAsia="Times New Roman" w:cs="Times New Roman"/>
          <w:i/>
          <w:iCs/>
          <w:szCs w:val="24"/>
          <w:lang w:val="en-GB" w:eastAsia="en-GB"/>
        </w:rPr>
        <w:t xml:space="preserve"> Glencore Canada Corporation</w:t>
      </w:r>
      <w:r w:rsidR="00B35F86"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96"/>
      </w:r>
      <w:r w:rsidRPr="007245E0">
        <w:rPr>
          <w:rFonts w:eastAsia="Times New Roman" w:cs="Times New Roman"/>
          <w:szCs w:val="24"/>
          <w:lang w:val="en-GB" w:eastAsia="en-GB"/>
        </w:rPr>
        <w:t xml:space="preserve"> namely, a failure to consider the proper comparators on a salary scale: this failure completely undermined th</w:t>
      </w:r>
      <w:r w:rsidR="00B35F86" w:rsidRPr="007245E0">
        <w:rPr>
          <w:rFonts w:eastAsia="Times New Roman" w:cs="Times New Roman"/>
          <w:szCs w:val="24"/>
          <w:lang w:val="en-GB" w:eastAsia="en-GB"/>
        </w:rPr>
        <w:t>e labour arbitrator’s decision</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97"/>
      </w:r>
    </w:p>
    <w:p w14:paraId="558BEB3B" w14:textId="77777777" w:rsidR="00B35F86" w:rsidRPr="00195300" w:rsidRDefault="00B35F86" w:rsidP="00B35F86">
      <w:pPr>
        <w:pStyle w:val="Heading2"/>
        <w:rPr>
          <w:rFonts w:eastAsia="Times New Roman"/>
          <w:b/>
          <w:u w:val="none"/>
          <w:lang w:val="en-GB" w:eastAsia="en-GB"/>
        </w:rPr>
      </w:pPr>
      <w:r w:rsidRPr="00195300">
        <w:rPr>
          <w:rFonts w:eastAsia="Times New Roman"/>
          <w:b/>
          <w:u w:val="none"/>
          <w:lang w:val="en-GB" w:eastAsia="en-GB"/>
        </w:rPr>
        <w:t>Statutory Interpretation</w:t>
      </w:r>
    </w:p>
    <w:p w14:paraId="73CC08C7" w14:textId="052E832B"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I emphasized in my commentary on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that there were important tensions in the majority reaso</w:t>
      </w:r>
      <w:r w:rsidR="00FB2A1F">
        <w:rPr>
          <w:rFonts w:eastAsia="Times New Roman" w:cs="Times New Roman"/>
          <w:szCs w:val="24"/>
          <w:lang w:val="en-GB" w:eastAsia="en-GB"/>
        </w:rPr>
        <w:t xml:space="preserve">ns, for instance, in respect to </w:t>
      </w:r>
      <w:r w:rsidRPr="007245E0">
        <w:rPr>
          <w:rFonts w:eastAsia="Times New Roman" w:cs="Times New Roman"/>
          <w:b/>
          <w:bCs/>
          <w:szCs w:val="24"/>
          <w:lang w:val="en-GB" w:eastAsia="en-GB"/>
        </w:rPr>
        <w:t>statutory interpretation</w:t>
      </w:r>
      <w:r w:rsidRPr="007245E0">
        <w:rPr>
          <w:rFonts w:eastAsia="Times New Roman" w:cs="Times New Roman"/>
          <w:szCs w:val="24"/>
          <w:lang w:val="en-GB" w:eastAsia="en-GB"/>
        </w:rPr>
        <w:t xml:space="preserve">. Consider </w:t>
      </w:r>
      <w:r w:rsidRPr="007245E0">
        <w:rPr>
          <w:rFonts w:eastAsia="Times New Roman" w:cs="Times New Roman"/>
          <w:i/>
          <w:iCs/>
          <w:szCs w:val="24"/>
          <w:lang w:val="en-GB" w:eastAsia="en-GB"/>
        </w:rPr>
        <w:t>Canadian National Railway Company</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Richardson International Limited</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98"/>
      </w:r>
      <w:r w:rsidRPr="007245E0">
        <w:rPr>
          <w:rFonts w:eastAsia="Times New Roman" w:cs="Times New Roman"/>
          <w:szCs w:val="24"/>
          <w:lang w:val="en-GB" w:eastAsia="en-GB"/>
        </w:rPr>
        <w:t xml:space="preserve"> The standard of review here was correctness, as the matter came before the Federal Court of Appeal as a statutory appeal from a decision of the Canadian Transportation Agency relating to railways. But Nadon JA also commented, in </w:t>
      </w:r>
      <w:r w:rsidRPr="007245E0">
        <w:rPr>
          <w:rFonts w:eastAsia="Times New Roman" w:cs="Times New Roman"/>
          <w:i/>
          <w:iCs/>
          <w:szCs w:val="24"/>
          <w:lang w:val="en-GB" w:eastAsia="en-GB"/>
        </w:rPr>
        <w:t>obiter</w:t>
      </w:r>
      <w:r w:rsidRPr="007245E0">
        <w:rPr>
          <w:rFonts w:eastAsia="Times New Roman" w:cs="Times New Roman"/>
          <w:szCs w:val="24"/>
          <w:lang w:val="en-GB" w:eastAsia="en-GB"/>
        </w:rPr>
        <w:t xml:space="preserve">, that he would have struck the decision down for unreasonableness in any event, “because it failed to consider both context and the </w:t>
      </w:r>
      <w:r w:rsidR="00B35F86" w:rsidRPr="007245E0">
        <w:rPr>
          <w:rFonts w:eastAsia="Times New Roman" w:cs="Times New Roman"/>
          <w:szCs w:val="24"/>
          <w:lang w:val="en-GB" w:eastAsia="en-GB"/>
        </w:rPr>
        <w:t>legislative scheme as a whole”</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99"/>
      </w:r>
      <w:r w:rsidRPr="007245E0">
        <w:rPr>
          <w:rFonts w:eastAsia="Times New Roman" w:cs="Times New Roman"/>
          <w:szCs w:val="24"/>
          <w:lang w:val="en-GB" w:eastAsia="en-GB"/>
        </w:rPr>
        <w:t xml:space="preserve"> Citing paragraph 118 of </w:t>
      </w:r>
      <w:r w:rsidRPr="007245E0">
        <w:rPr>
          <w:rFonts w:eastAsia="Times New Roman" w:cs="Times New Roman"/>
          <w:i/>
          <w:iCs/>
          <w:szCs w:val="24"/>
          <w:lang w:val="en-GB" w:eastAsia="en-GB"/>
        </w:rPr>
        <w:t>Vavilov</w:t>
      </w:r>
      <w:r w:rsidR="00FB2A1F">
        <w:rPr>
          <w:rFonts w:eastAsia="Times New Roman" w:cs="Times New Roman"/>
          <w:szCs w:val="24"/>
          <w:lang w:val="en-GB" w:eastAsia="en-GB"/>
        </w:rPr>
        <w:t>—</w:t>
      </w:r>
      <w:r w:rsidRPr="007245E0">
        <w:rPr>
          <w:rFonts w:eastAsia="Times New Roman" w:cs="Times New Roman"/>
          <w:szCs w:val="24"/>
          <w:lang w:val="en-GB" w:eastAsia="en-GB"/>
        </w:rPr>
        <w:t>but not the more equivocal language of paragraphs 119 an</w:t>
      </w:r>
      <w:r w:rsidR="00FB2A1F">
        <w:rPr>
          <w:rFonts w:eastAsia="Times New Roman" w:cs="Times New Roman"/>
          <w:szCs w:val="24"/>
          <w:lang w:val="en-GB" w:eastAsia="en-GB"/>
        </w:rPr>
        <w:t>d 122—</w:t>
      </w:r>
      <w:r w:rsidRPr="007245E0">
        <w:rPr>
          <w:rFonts w:eastAsia="Times New Roman" w:cs="Times New Roman"/>
          <w:szCs w:val="24"/>
          <w:lang w:val="en-GB" w:eastAsia="en-GB"/>
        </w:rPr>
        <w:t>Nadon JA commented that</w:t>
      </w:r>
      <w:r w:rsidR="00FB2A1F">
        <w:rPr>
          <w:rFonts w:eastAsia="Times New Roman" w:cs="Times New Roman"/>
          <w:szCs w:val="24"/>
          <w:lang w:val="en-GB" w:eastAsia="en-GB"/>
        </w:rPr>
        <w:t xml:space="preserve"> the</w:t>
      </w:r>
      <w:r w:rsidRPr="007245E0">
        <w:rPr>
          <w:rFonts w:eastAsia="Times New Roman" w:cs="Times New Roman"/>
          <w:szCs w:val="24"/>
          <w:lang w:val="en-GB" w:eastAsia="en-GB"/>
        </w:rPr>
        <w:t xml:space="preserve"> Agency’s failure to “observe the fundamental principle</w:t>
      </w:r>
      <w:r w:rsidR="00B35F86" w:rsidRPr="007245E0">
        <w:rPr>
          <w:rFonts w:eastAsia="Times New Roman" w:cs="Times New Roman"/>
          <w:szCs w:val="24"/>
          <w:lang w:val="en-GB" w:eastAsia="en-GB"/>
        </w:rPr>
        <w:t>s of statutory interpretation”</w:t>
      </w:r>
      <w:r w:rsidR="00B35F86" w:rsidRPr="007245E0">
        <w:rPr>
          <w:rStyle w:val="FootnoteReference"/>
          <w:rFonts w:eastAsia="Times New Roman" w:cs="Times New Roman"/>
          <w:szCs w:val="24"/>
          <w:lang w:val="en-GB" w:eastAsia="en-GB"/>
        </w:rPr>
        <w:footnoteReference w:id="100"/>
      </w:r>
      <w:r w:rsidR="00B35F86" w:rsidRPr="007245E0">
        <w:rPr>
          <w:rFonts w:eastAsia="Times New Roman" w:cs="Times New Roman"/>
          <w:szCs w:val="24"/>
          <w:lang w:val="en-GB" w:eastAsia="en-GB"/>
        </w:rPr>
        <w:t xml:space="preserve"> was “fatal to its decision</w:t>
      </w:r>
      <w:r w:rsidR="00FB2A1F">
        <w:rPr>
          <w:rFonts w:eastAsia="Times New Roman" w:cs="Times New Roman"/>
          <w:szCs w:val="24"/>
          <w:lang w:val="en-GB" w:eastAsia="en-GB"/>
        </w:rPr>
        <w:t>.</w:t>
      </w:r>
      <w:r w:rsidR="00B35F86"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01"/>
      </w:r>
      <w:r w:rsidRPr="007245E0">
        <w:rPr>
          <w:rFonts w:eastAsia="Times New Roman" w:cs="Times New Roman"/>
          <w:szCs w:val="24"/>
          <w:lang w:val="en-GB" w:eastAsia="en-GB"/>
        </w:rPr>
        <w:t xml:space="preserve"> This might be thought to betray a favouritism for an interventionist standard of reasonableness review on issues of statutory interpretation (although, to be fair, Nadon JA remitted the matter to the Agency and took pains not to “rule out the possibility that the Agency might come to an interpretation that differs from the one it arr</w:t>
      </w:r>
      <w:r w:rsidR="00B35F86" w:rsidRPr="007245E0">
        <w:rPr>
          <w:rFonts w:eastAsia="Times New Roman" w:cs="Times New Roman"/>
          <w:szCs w:val="24"/>
          <w:lang w:val="en-GB" w:eastAsia="en-GB"/>
        </w:rPr>
        <w:t>ived at in the present matter”)</w:t>
      </w:r>
      <w:r w:rsidRPr="007245E0">
        <w:rPr>
          <w:rFonts w:eastAsia="Times New Roman" w:cs="Times New Roman"/>
          <w:szCs w:val="24"/>
          <w:lang w:val="en-GB" w:eastAsia="en-GB"/>
        </w:rPr>
        <w:t>.</w:t>
      </w:r>
      <w:r w:rsidR="008531FD" w:rsidRPr="007245E0">
        <w:rPr>
          <w:rStyle w:val="FootnoteReference"/>
          <w:rFonts w:eastAsia="Times New Roman" w:cs="Times New Roman"/>
          <w:szCs w:val="24"/>
          <w:lang w:val="en-GB" w:eastAsia="en-GB"/>
        </w:rPr>
        <w:footnoteReference w:id="102"/>
      </w:r>
      <w:r w:rsidRPr="007245E0">
        <w:rPr>
          <w:rFonts w:eastAsia="Times New Roman" w:cs="Times New Roman"/>
          <w:szCs w:val="24"/>
          <w:lang w:val="en-GB" w:eastAsia="en-GB"/>
        </w:rPr>
        <w:t xml:space="preserve"> A more </w:t>
      </w:r>
      <w:r w:rsidRPr="007245E0">
        <w:rPr>
          <w:rFonts w:eastAsia="Times New Roman" w:cs="Times New Roman"/>
          <w:szCs w:val="24"/>
          <w:lang w:val="en-GB" w:eastAsia="en-GB"/>
        </w:rPr>
        <w:lastRenderedPageBreak/>
        <w:t xml:space="preserve">moderate approach was taken by Boone J in </w:t>
      </w:r>
      <w:r w:rsidRPr="007245E0">
        <w:rPr>
          <w:rFonts w:eastAsia="Times New Roman" w:cs="Times New Roman"/>
          <w:i/>
          <w:iCs/>
          <w:szCs w:val="24"/>
          <w:lang w:val="en-GB" w:eastAsia="en-GB"/>
        </w:rPr>
        <w:t>Salmonid Association of Eastern Newfoundland</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Her Majesty the Queen in Right of Newfoundland and Labrador</w:t>
      </w:r>
      <w:r w:rsidRPr="007245E0">
        <w:rPr>
          <w:rFonts w:eastAsia="Times New Roman" w:cs="Times New Roman"/>
          <w:szCs w:val="24"/>
          <w:lang w:val="en-GB" w:eastAsia="en-GB"/>
        </w:rPr>
        <w:t>, where the key flaw was that the Minister “did not explain his reasons for his adoption of an interpretation that he was aware was one of two valid but opposite readings”</w:t>
      </w:r>
      <w:r w:rsidR="00B35F86" w:rsidRPr="007245E0">
        <w:rPr>
          <w:rStyle w:val="FootnoteReference"/>
          <w:rFonts w:eastAsia="Times New Roman" w:cs="Times New Roman"/>
          <w:szCs w:val="24"/>
          <w:lang w:val="en-GB" w:eastAsia="en-GB"/>
        </w:rPr>
        <w:footnoteReference w:id="103"/>
      </w:r>
      <w:r w:rsidRPr="007245E0">
        <w:rPr>
          <w:rFonts w:eastAsia="Times New Roman" w:cs="Times New Roman"/>
          <w:szCs w:val="24"/>
          <w:lang w:val="en-GB" w:eastAsia="en-GB"/>
        </w:rPr>
        <w:t xml:space="preserve"> and by Barnes J in </w:t>
      </w:r>
      <w:r w:rsidRPr="007245E0">
        <w:rPr>
          <w:rFonts w:eastAsia="Times New Roman" w:cs="Times New Roman"/>
          <w:i/>
          <w:iCs/>
          <w:szCs w:val="24"/>
          <w:lang w:val="en-GB" w:eastAsia="en-GB"/>
        </w:rPr>
        <w:t>Glaxosmithkline Biologicals SA</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(Health)</w:t>
      </w:r>
      <w:r w:rsidRPr="007245E0">
        <w:rPr>
          <w:rFonts w:eastAsia="Times New Roman" w:cs="Times New Roman"/>
          <w:szCs w:val="24"/>
          <w:lang w:val="en-GB" w:eastAsia="en-GB"/>
        </w:rPr>
        <w:t xml:space="preserve">, noting that the Minister had failed to have regard to the obligation to interpret Canadian law implementing the </w:t>
      </w:r>
      <w:r w:rsidRPr="007245E0">
        <w:rPr>
          <w:rFonts w:eastAsia="Times New Roman" w:cs="Times New Roman"/>
          <w:i/>
          <w:iCs/>
          <w:szCs w:val="24"/>
          <w:lang w:val="en-GB" w:eastAsia="en-GB"/>
        </w:rPr>
        <w:t xml:space="preserve">Canada Europe Trade Agreement </w:t>
      </w:r>
      <w:r w:rsidRPr="007245E0">
        <w:rPr>
          <w:rFonts w:eastAsia="Times New Roman" w:cs="Times New Roman"/>
          <w:szCs w:val="24"/>
          <w:lang w:val="en-GB" w:eastAsia="en-GB"/>
        </w:rPr>
        <w:t>in conformity with the Agreement.</w:t>
      </w:r>
      <w:r w:rsidR="00B35F86" w:rsidRPr="007245E0">
        <w:rPr>
          <w:rStyle w:val="FootnoteReference"/>
          <w:rFonts w:eastAsia="Times New Roman" w:cs="Times New Roman"/>
          <w:szCs w:val="24"/>
          <w:lang w:val="en-GB" w:eastAsia="en-GB"/>
        </w:rPr>
        <w:footnoteReference w:id="104"/>
      </w:r>
      <w:r w:rsidRPr="007245E0">
        <w:rPr>
          <w:rFonts w:eastAsia="Times New Roman" w:cs="Times New Roman"/>
          <w:szCs w:val="24"/>
          <w:lang w:val="en-GB" w:eastAsia="en-GB"/>
        </w:rPr>
        <w:t xml:space="preserve"> </w:t>
      </w:r>
    </w:p>
    <w:p w14:paraId="7579AC08" w14:textId="77777777"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Nadon JA’s </w:t>
      </w:r>
      <w:r w:rsidRPr="007245E0">
        <w:rPr>
          <w:rFonts w:eastAsia="Times New Roman" w:cs="Times New Roman"/>
          <w:i/>
          <w:iCs/>
          <w:szCs w:val="24"/>
          <w:lang w:val="en-GB" w:eastAsia="en-GB"/>
        </w:rPr>
        <w:t xml:space="preserve">obiter </w:t>
      </w:r>
      <w:r w:rsidRPr="007245E0">
        <w:rPr>
          <w:rFonts w:eastAsia="Times New Roman" w:cs="Times New Roman"/>
          <w:szCs w:val="24"/>
          <w:lang w:val="en-GB" w:eastAsia="en-GB"/>
        </w:rPr>
        <w:t xml:space="preserve">comments certainly underscore how some portions of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are liable to become battlegrounds between different factions of judges, those who favour more intrusive review on questions of law in one camp, their more deferential colleague</w:t>
      </w:r>
      <w:r w:rsidR="00B35F86" w:rsidRPr="007245E0">
        <w:rPr>
          <w:rFonts w:eastAsia="Times New Roman" w:cs="Times New Roman"/>
          <w:szCs w:val="24"/>
          <w:lang w:val="en-GB" w:eastAsia="en-GB"/>
        </w:rPr>
        <w:t>s in the other</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05"/>
      </w:r>
      <w:r w:rsidRPr="007245E0">
        <w:rPr>
          <w:rFonts w:eastAsia="Times New Roman" w:cs="Times New Roman"/>
          <w:szCs w:val="24"/>
          <w:lang w:val="en-GB" w:eastAsia="en-GB"/>
        </w:rPr>
        <w:t xml:space="preserve"> </w:t>
      </w:r>
    </w:p>
    <w:p w14:paraId="57C9A4EB" w14:textId="77777777" w:rsidR="00B35F86" w:rsidRPr="00195300" w:rsidRDefault="00B35F86" w:rsidP="00B35F86">
      <w:pPr>
        <w:pStyle w:val="Heading2"/>
        <w:rPr>
          <w:rFonts w:eastAsia="Times New Roman"/>
          <w:b/>
          <w:u w:val="none"/>
          <w:lang w:val="en-GB" w:eastAsia="en-GB"/>
        </w:rPr>
      </w:pPr>
      <w:r w:rsidRPr="00195300">
        <w:rPr>
          <w:rFonts w:eastAsia="Times New Roman"/>
          <w:b/>
          <w:u w:val="none"/>
          <w:lang w:val="en-GB" w:eastAsia="en-GB"/>
        </w:rPr>
        <w:t>Patent Unreasonableness</w:t>
      </w:r>
    </w:p>
    <w:p w14:paraId="6DC8A881" w14:textId="621AB076" w:rsidR="00C906D6" w:rsidRPr="007245E0" w:rsidRDefault="00A61530" w:rsidP="00C906D6">
      <w:pPr>
        <w:spacing w:before="100" w:beforeAutospacing="1" w:after="100" w:afterAutospacing="1" w:line="240" w:lineRule="auto"/>
        <w:rPr>
          <w:rFonts w:eastAsia="Times New Roman" w:cs="Times New Roman"/>
          <w:szCs w:val="24"/>
          <w:lang w:val="en-GB" w:eastAsia="en-GB"/>
        </w:rPr>
      </w:pPr>
      <w:r>
        <w:rPr>
          <w:rFonts w:eastAsia="Times New Roman" w:cs="Times New Roman"/>
          <w:szCs w:val="24"/>
          <w:lang w:val="en-GB" w:eastAsia="en-GB"/>
        </w:rPr>
        <w:t>O</w:t>
      </w:r>
      <w:r w:rsidR="00C906D6" w:rsidRPr="007245E0">
        <w:rPr>
          <w:rFonts w:eastAsia="Times New Roman" w:cs="Times New Roman"/>
          <w:szCs w:val="24"/>
          <w:lang w:val="en-GB" w:eastAsia="en-GB"/>
        </w:rPr>
        <w:t xml:space="preserve">ut in British Columbia it looks like the Court of Appeal will soon have to weigh in on the implications of </w:t>
      </w:r>
      <w:r w:rsidR="00C906D6" w:rsidRPr="007245E0">
        <w:rPr>
          <w:rFonts w:eastAsia="Times New Roman" w:cs="Times New Roman"/>
          <w:i/>
          <w:iCs/>
          <w:szCs w:val="24"/>
          <w:lang w:val="en-GB" w:eastAsia="en-GB"/>
        </w:rPr>
        <w:t xml:space="preserve">Vavilov </w:t>
      </w:r>
      <w:r w:rsidR="00C906D6" w:rsidRPr="007245E0">
        <w:rPr>
          <w:rFonts w:eastAsia="Times New Roman" w:cs="Times New Roman"/>
          <w:szCs w:val="24"/>
          <w:lang w:val="en-GB" w:eastAsia="en-GB"/>
        </w:rPr>
        <w:t xml:space="preserve">for the province’s </w:t>
      </w:r>
      <w:r w:rsidR="00C906D6" w:rsidRPr="007245E0">
        <w:rPr>
          <w:rFonts w:eastAsia="Times New Roman" w:cs="Times New Roman"/>
          <w:b/>
          <w:bCs/>
          <w:szCs w:val="24"/>
          <w:lang w:val="en-GB" w:eastAsia="en-GB"/>
        </w:rPr>
        <w:t xml:space="preserve">patent unreasonableness </w:t>
      </w:r>
      <w:r w:rsidR="00C906D6" w:rsidRPr="007245E0">
        <w:rPr>
          <w:rFonts w:eastAsia="Times New Roman" w:cs="Times New Roman"/>
          <w:szCs w:val="24"/>
          <w:lang w:val="en-GB" w:eastAsia="en-GB"/>
        </w:rPr>
        <w:t xml:space="preserve">standard. In </w:t>
      </w:r>
      <w:r w:rsidR="00C906D6" w:rsidRPr="007245E0">
        <w:rPr>
          <w:rFonts w:eastAsia="Times New Roman" w:cs="Times New Roman"/>
          <w:i/>
          <w:iCs/>
          <w:szCs w:val="24"/>
          <w:lang w:val="en-GB" w:eastAsia="en-GB"/>
        </w:rPr>
        <w:t>College of New Caledonia v Faculty Association of the College of New Caledonia</w:t>
      </w:r>
      <w:r w:rsidR="00C906D6"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06"/>
      </w:r>
      <w:r w:rsidR="00C906D6" w:rsidRPr="007245E0">
        <w:rPr>
          <w:rFonts w:eastAsia="Times New Roman" w:cs="Times New Roman"/>
          <w:szCs w:val="24"/>
          <w:lang w:val="en-GB" w:eastAsia="en-GB"/>
        </w:rPr>
        <w:t xml:space="preserve"> the petitioner argued that the articulation of “robust” reasonableness review in </w:t>
      </w:r>
      <w:r w:rsidR="00C906D6" w:rsidRPr="007245E0">
        <w:rPr>
          <w:rFonts w:eastAsia="Times New Roman" w:cs="Times New Roman"/>
          <w:i/>
          <w:iCs/>
          <w:szCs w:val="24"/>
          <w:lang w:val="en-GB" w:eastAsia="en-GB"/>
        </w:rPr>
        <w:t xml:space="preserve">Vavilov </w:t>
      </w:r>
      <w:r w:rsidR="00C906D6" w:rsidRPr="007245E0">
        <w:rPr>
          <w:rFonts w:eastAsia="Times New Roman" w:cs="Times New Roman"/>
          <w:szCs w:val="24"/>
          <w:lang w:val="en-GB" w:eastAsia="en-GB"/>
        </w:rPr>
        <w:t>should inform the application of patent unreasonableness in British Columbia. Francis J was unimpressed (and went on to uphold the decision):</w:t>
      </w:r>
    </w:p>
    <w:p w14:paraId="45F55499" w14:textId="6BF6FBCD" w:rsidR="00C906D6" w:rsidRPr="007245E0" w:rsidRDefault="00C906D6" w:rsidP="00B35F86">
      <w:pPr>
        <w:spacing w:beforeAutospacing="1" w:after="100" w:afterAutospacing="1" w:line="240" w:lineRule="auto"/>
        <w:ind w:left="720"/>
        <w:rPr>
          <w:rFonts w:eastAsia="Times New Roman" w:cs="Times New Roman"/>
          <w:szCs w:val="24"/>
          <w:lang w:val="en-GB" w:eastAsia="en-GB"/>
        </w:rPr>
      </w:pPr>
      <w:r w:rsidRPr="007245E0">
        <w:rPr>
          <w:rFonts w:eastAsia="Times New Roman" w:cs="Times New Roman"/>
          <w:szCs w:val="24"/>
          <w:lang w:val="en-GB" w:eastAsia="en-GB"/>
        </w:rPr>
        <w:t xml:space="preserve">I agree with counsel for the Board that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has not changed the law with respect to the meaning of patent unreasonableness under </w:t>
      </w:r>
      <w:hyperlink r:id="rId17" w:anchor="sec58_smooth" w:history="1">
        <w:r w:rsidRPr="007245E0">
          <w:rPr>
            <w:rFonts w:eastAsia="Times New Roman" w:cs="Times New Roman"/>
            <w:szCs w:val="24"/>
            <w:lang w:val="en-GB" w:eastAsia="en-GB"/>
          </w:rPr>
          <w:t>s. 58</w:t>
        </w:r>
      </w:hyperlink>
      <w:r w:rsidRPr="007245E0">
        <w:rPr>
          <w:rFonts w:eastAsia="Times New Roman" w:cs="Times New Roman"/>
          <w:szCs w:val="24"/>
          <w:lang w:val="en-GB" w:eastAsia="en-GB"/>
        </w:rPr>
        <w:t xml:space="preserve"> of the </w:t>
      </w:r>
      <w:hyperlink r:id="rId18" w:history="1">
        <w:r w:rsidRPr="007245E0">
          <w:rPr>
            <w:rFonts w:eastAsia="Times New Roman" w:cs="Times New Roman"/>
            <w:i/>
            <w:iCs/>
            <w:szCs w:val="24"/>
            <w:lang w:val="en-GB" w:eastAsia="en-GB"/>
          </w:rPr>
          <w:t>ATA</w:t>
        </w:r>
      </w:hyperlink>
      <w:r w:rsidRPr="007245E0">
        <w:rPr>
          <w:rFonts w:eastAsia="Times New Roman" w:cs="Times New Roman"/>
          <w:i/>
          <w:iCs/>
          <w:szCs w:val="24"/>
          <w:lang w:val="en-GB" w:eastAsia="en-GB"/>
        </w:rPr>
        <w:t xml:space="preserve">, </w:t>
      </w:r>
      <w:r w:rsidRPr="007245E0">
        <w:rPr>
          <w:rFonts w:eastAsia="Times New Roman" w:cs="Times New Roman"/>
          <w:szCs w:val="24"/>
          <w:lang w:val="en-GB" w:eastAsia="en-GB"/>
        </w:rPr>
        <w:t xml:space="preserve">just as </w:t>
      </w:r>
      <w:r w:rsidRPr="007245E0">
        <w:rPr>
          <w:rFonts w:eastAsia="Times New Roman" w:cs="Times New Roman"/>
          <w:i/>
          <w:iCs/>
          <w:szCs w:val="24"/>
          <w:lang w:val="en-GB" w:eastAsia="en-GB"/>
        </w:rPr>
        <w:t>Dunsmuir</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New Brunswick, </w:t>
      </w:r>
      <w:hyperlink r:id="rId19" w:history="1">
        <w:r w:rsidRPr="007245E0">
          <w:rPr>
            <w:rFonts w:eastAsia="Times New Roman" w:cs="Times New Roman"/>
            <w:szCs w:val="24"/>
            <w:lang w:val="en-GB" w:eastAsia="en-GB"/>
          </w:rPr>
          <w:t>2008 SCC 65</w:t>
        </w:r>
      </w:hyperlink>
      <w:r w:rsidRPr="007245E0">
        <w:rPr>
          <w:rFonts w:eastAsia="Times New Roman" w:cs="Times New Roman"/>
          <w:szCs w:val="24"/>
          <w:lang w:val="en-GB" w:eastAsia="en-GB"/>
        </w:rPr>
        <w:t xml:space="preserve"> did not affect the meaning of the statutory standard of review (see </w:t>
      </w:r>
      <w:r w:rsidRPr="007245E0">
        <w:rPr>
          <w:rFonts w:eastAsia="Times New Roman" w:cs="Times New Roman"/>
          <w:i/>
          <w:iCs/>
          <w:szCs w:val="24"/>
          <w:lang w:val="en-GB" w:eastAsia="en-GB"/>
        </w:rPr>
        <w:t>Pacific Newspaper Group Inc.</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Communications, Energy and Paperworkers Union of Canada, Local2000</w:t>
      </w:r>
      <w:r w:rsidRPr="007245E0">
        <w:rPr>
          <w:rFonts w:eastAsia="Times New Roman" w:cs="Times New Roman"/>
          <w:szCs w:val="24"/>
          <w:lang w:val="en-GB" w:eastAsia="en-GB"/>
        </w:rPr>
        <w:t xml:space="preserve">, </w:t>
      </w:r>
      <w:hyperlink r:id="rId20" w:history="1">
        <w:r w:rsidRPr="007245E0">
          <w:rPr>
            <w:rFonts w:eastAsia="Times New Roman" w:cs="Times New Roman"/>
            <w:szCs w:val="24"/>
            <w:lang w:val="en-GB" w:eastAsia="en-GB"/>
          </w:rPr>
          <w:t>2014 BCCA 496</w:t>
        </w:r>
      </w:hyperlink>
      <w:r w:rsidRPr="007245E0">
        <w:rPr>
          <w:rFonts w:eastAsia="Times New Roman" w:cs="Times New Roman"/>
          <w:szCs w:val="24"/>
          <w:lang w:val="en-GB" w:eastAsia="en-GB"/>
        </w:rPr>
        <w:t xml:space="preserve"> at para. </w:t>
      </w:r>
      <w:hyperlink r:id="rId21" w:anchor="par44" w:history="1">
        <w:r w:rsidRPr="007245E0">
          <w:rPr>
            <w:rFonts w:eastAsia="Times New Roman" w:cs="Times New Roman"/>
            <w:szCs w:val="24"/>
            <w:lang w:val="en-GB" w:eastAsia="en-GB"/>
          </w:rPr>
          <w:t>44</w:t>
        </w:r>
      </w:hyperlink>
      <w:r w:rsidRPr="007245E0">
        <w:rPr>
          <w:rFonts w:eastAsia="Times New Roman" w:cs="Times New Roman"/>
          <w:szCs w:val="24"/>
          <w:lang w:val="en-GB" w:eastAsia="en-GB"/>
        </w:rPr>
        <w:t>)</w:t>
      </w:r>
      <w:r w:rsidRPr="007245E0">
        <w:rPr>
          <w:rFonts w:eastAsia="Times New Roman" w:cs="Times New Roman"/>
          <w:i/>
          <w:iCs/>
          <w:szCs w:val="24"/>
          <w:lang w:val="en-GB" w:eastAsia="en-GB"/>
        </w:rPr>
        <w:t xml:space="preserve">. </w:t>
      </w:r>
      <w:r w:rsidRPr="007245E0">
        <w:rPr>
          <w:rFonts w:eastAsia="Times New Roman" w:cs="Times New Roman"/>
          <w:szCs w:val="24"/>
          <w:lang w:val="en-GB" w:eastAsia="en-GB"/>
        </w:rPr>
        <w:t xml:space="preserve">There is simply nothing in the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decision that would lead me to conclude that the decision modifies the patent unreas</w:t>
      </w:r>
      <w:r w:rsidR="00B35F86" w:rsidRPr="007245E0">
        <w:rPr>
          <w:rFonts w:eastAsia="Times New Roman" w:cs="Times New Roman"/>
          <w:szCs w:val="24"/>
          <w:lang w:val="en-GB" w:eastAsia="en-GB"/>
        </w:rPr>
        <w:t>onableness standard in any way</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07"/>
      </w:r>
      <w:r w:rsidRPr="007245E0">
        <w:rPr>
          <w:rFonts w:eastAsia="Times New Roman" w:cs="Times New Roman"/>
          <w:szCs w:val="24"/>
          <w:lang w:val="en-GB" w:eastAsia="en-GB"/>
        </w:rPr>
        <w:t xml:space="preserve"> </w:t>
      </w:r>
    </w:p>
    <w:p w14:paraId="6FBB559C" w14:textId="77777777"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But in </w:t>
      </w:r>
      <w:r w:rsidRPr="007245E0">
        <w:rPr>
          <w:rFonts w:eastAsia="Times New Roman" w:cs="Times New Roman"/>
          <w:i/>
          <w:iCs/>
          <w:szCs w:val="24"/>
          <w:lang w:val="en-GB" w:eastAsia="en-GB"/>
        </w:rPr>
        <w:t>Guevara v Louie</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08"/>
      </w:r>
      <w:r w:rsidRPr="007245E0">
        <w:rPr>
          <w:rFonts w:eastAsia="Times New Roman" w:cs="Times New Roman"/>
          <w:szCs w:val="24"/>
          <w:lang w:val="en-GB" w:eastAsia="en-GB"/>
        </w:rPr>
        <w:t xml:space="preserve"> Sewell J took the opposite view (and went on to strike down the decision):</w:t>
      </w:r>
    </w:p>
    <w:p w14:paraId="00D02E52" w14:textId="5149544D" w:rsidR="00C906D6" w:rsidRPr="007245E0" w:rsidRDefault="00C906D6" w:rsidP="00B35F86">
      <w:pPr>
        <w:spacing w:beforeAutospacing="1" w:after="100" w:afterAutospacing="1" w:line="240" w:lineRule="auto"/>
        <w:ind w:left="720"/>
        <w:rPr>
          <w:rFonts w:eastAsia="Times New Roman" w:cs="Times New Roman"/>
          <w:szCs w:val="24"/>
          <w:lang w:val="en-GB" w:eastAsia="en-GB"/>
        </w:rPr>
      </w:pPr>
      <w:r w:rsidRPr="007245E0">
        <w:rPr>
          <w:rFonts w:eastAsia="Times New Roman" w:cs="Times New Roman"/>
          <w:szCs w:val="24"/>
          <w:lang w:val="en-GB" w:eastAsia="en-GB"/>
        </w:rPr>
        <w:t xml:space="preserve">In </w:t>
      </w:r>
      <w:r w:rsidRPr="007245E0">
        <w:rPr>
          <w:rFonts w:eastAsia="Times New Roman" w:cs="Times New Roman"/>
          <w:i/>
          <w:iCs/>
          <w:szCs w:val="24"/>
          <w:lang w:val="en-GB" w:eastAsia="en-GB"/>
        </w:rPr>
        <w:t>Canada (Minister of Citizenship and Immigration)</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Vavilov </w:t>
      </w:r>
      <w:hyperlink r:id="rId22" w:history="1">
        <w:r w:rsidRPr="007245E0">
          <w:rPr>
            <w:rFonts w:eastAsia="Times New Roman" w:cs="Times New Roman"/>
            <w:szCs w:val="24"/>
            <w:lang w:val="en-GB" w:eastAsia="en-GB"/>
          </w:rPr>
          <w:t>2019 SCC 65</w:t>
        </w:r>
      </w:hyperlink>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the Court emphasized that it is the duty of a reviewing court to</w:t>
      </w:r>
      <w:r w:rsidR="00A61530">
        <w:rPr>
          <w:rFonts w:eastAsia="Times New Roman" w:cs="Times New Roman"/>
          <w:szCs w:val="24"/>
          <w:lang w:val="en-GB" w:eastAsia="en-GB"/>
        </w:rPr>
        <w:t xml:space="preserve"> determine whether the decision-</w:t>
      </w:r>
      <w:r w:rsidRPr="007245E0">
        <w:rPr>
          <w:rFonts w:eastAsia="Times New Roman" w:cs="Times New Roman"/>
          <w:szCs w:val="24"/>
          <w:lang w:val="en-GB" w:eastAsia="en-GB"/>
        </w:rPr>
        <w:t xml:space="preserve">maker’s reasons meaningfully account for the central issue and concerns raised by the parties. While these comments were made in the context of a review on a reasonableness standard, it is my view that they also apply to a review of reasons on the standard of patent unreasonableness. What constitutes a patently unreasonable decision may be “understood in the context of the common law jurisprudence” regarding judicial review generally “and will necessarily continue to </w:t>
      </w:r>
      <w:r w:rsidRPr="007245E0">
        <w:rPr>
          <w:rFonts w:eastAsia="Times New Roman" w:cs="Times New Roman"/>
          <w:szCs w:val="24"/>
          <w:lang w:val="en-GB" w:eastAsia="en-GB"/>
        </w:rPr>
        <w:lastRenderedPageBreak/>
        <w:t xml:space="preserve">be calibrated according to general principles of administrative law:” </w:t>
      </w:r>
      <w:r w:rsidRPr="007245E0">
        <w:rPr>
          <w:rFonts w:eastAsia="Times New Roman" w:cs="Times New Roman"/>
          <w:i/>
          <w:iCs/>
          <w:szCs w:val="24"/>
          <w:lang w:val="en-GB" w:eastAsia="en-GB"/>
        </w:rPr>
        <w:t>Canada (Minister of Citizenship and Immigration)</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Khosa</w:t>
      </w:r>
      <w:r w:rsidRPr="007245E0">
        <w:rPr>
          <w:rFonts w:eastAsia="Times New Roman" w:cs="Times New Roman"/>
          <w:szCs w:val="24"/>
          <w:lang w:val="en-GB" w:eastAsia="en-GB"/>
        </w:rPr>
        <w:t xml:space="preserve">, </w:t>
      </w:r>
      <w:hyperlink r:id="rId23" w:history="1">
        <w:r w:rsidRPr="007245E0">
          <w:rPr>
            <w:rFonts w:eastAsia="Times New Roman" w:cs="Times New Roman"/>
            <w:szCs w:val="24"/>
            <w:lang w:val="en-GB" w:eastAsia="en-GB"/>
          </w:rPr>
          <w:t>2009 SCC 12 (S.C.C.)</w:t>
        </w:r>
      </w:hyperlink>
      <w:r w:rsidRPr="007245E0">
        <w:rPr>
          <w:rFonts w:eastAsia="Times New Roman" w:cs="Times New Roman"/>
          <w:szCs w:val="24"/>
          <w:lang w:val="en-GB" w:eastAsia="en-GB"/>
        </w:rPr>
        <w:t xml:space="preserve"> at para </w:t>
      </w:r>
      <w:hyperlink r:id="rId24" w:anchor="par19" w:history="1">
        <w:r w:rsidRPr="007245E0">
          <w:rPr>
            <w:rFonts w:eastAsia="Times New Roman" w:cs="Times New Roman"/>
            <w:szCs w:val="24"/>
            <w:lang w:val="en-GB" w:eastAsia="en-GB"/>
          </w:rPr>
          <w:t>19</w:t>
        </w:r>
      </w:hyperlink>
      <w:r w:rsidRPr="007245E0">
        <w:rPr>
          <w:rFonts w:eastAsia="Times New Roman" w:cs="Times New Roman"/>
          <w:szCs w:val="24"/>
          <w:lang w:val="en-GB" w:eastAsia="en-GB"/>
        </w:rPr>
        <w:t xml:space="preserve"> (at para. 48). </w:t>
      </w:r>
    </w:p>
    <w:p w14:paraId="4D8DC1F3" w14:textId="5BDA783C"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I am sympathetic to Sewell J’s view. The patent unreasonableness standard in British Columbia essentially sets out grounds of review for abuse of discretion. Th</w:t>
      </w:r>
      <w:r w:rsidR="00A61530">
        <w:rPr>
          <w:rFonts w:eastAsia="Times New Roman" w:cs="Times New Roman"/>
          <w:szCs w:val="24"/>
          <w:lang w:val="en-GB" w:eastAsia="en-GB"/>
        </w:rPr>
        <w:t>ese grounds can be supplemented—</w:t>
      </w:r>
      <w:r w:rsidRPr="007245E0">
        <w:rPr>
          <w:rFonts w:eastAsia="Times New Roman" w:cs="Times New Roman"/>
          <w:szCs w:val="24"/>
          <w:lang w:val="en-GB" w:eastAsia="en-GB"/>
        </w:rPr>
        <w:t xml:space="preserve">indeed, on the logic of </w:t>
      </w:r>
      <w:r w:rsidRPr="007245E0">
        <w:rPr>
          <w:rFonts w:eastAsia="Times New Roman" w:cs="Times New Roman"/>
          <w:i/>
          <w:iCs/>
          <w:szCs w:val="24"/>
          <w:lang w:val="en-GB" w:eastAsia="en-GB"/>
        </w:rPr>
        <w:t>Khosa</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 xml:space="preserve">must </w:t>
      </w:r>
      <w:r w:rsidR="00A61530">
        <w:rPr>
          <w:rFonts w:eastAsia="Times New Roman" w:cs="Times New Roman"/>
          <w:szCs w:val="24"/>
          <w:lang w:val="en-GB" w:eastAsia="en-GB"/>
        </w:rPr>
        <w:t>be supplemented—</w:t>
      </w:r>
      <w:r w:rsidRPr="007245E0">
        <w:rPr>
          <w:rFonts w:eastAsia="Times New Roman" w:cs="Times New Roman"/>
          <w:szCs w:val="24"/>
          <w:lang w:val="en-GB" w:eastAsia="en-GB"/>
        </w:rPr>
        <w:t xml:space="preserve">by the common law of judicial review. The distinction between grounds and standards was reasserted in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 xml:space="preserve">, leaving the door very much open to </w:t>
      </w:r>
      <w:r w:rsidRPr="007245E0">
        <w:rPr>
          <w:rFonts w:eastAsia="Times New Roman" w:cs="Times New Roman"/>
          <w:i/>
          <w:iCs/>
          <w:szCs w:val="24"/>
          <w:lang w:val="en-GB" w:eastAsia="en-GB"/>
        </w:rPr>
        <w:t xml:space="preserve">Vavilovian </w:t>
      </w:r>
      <w:r w:rsidRPr="007245E0">
        <w:rPr>
          <w:rFonts w:eastAsia="Times New Roman" w:cs="Times New Roman"/>
          <w:szCs w:val="24"/>
          <w:lang w:val="en-GB" w:eastAsia="en-GB"/>
        </w:rPr>
        <w:t>reasonableness review informing the meaning of patent unreasonableness in British Columbia. Over to you, Court of Appeal.</w:t>
      </w:r>
      <w:r w:rsidR="00B35F86" w:rsidRPr="007245E0">
        <w:rPr>
          <w:rStyle w:val="FootnoteReference"/>
          <w:rFonts w:eastAsia="Times New Roman" w:cs="Times New Roman"/>
          <w:szCs w:val="24"/>
          <w:lang w:val="en-GB" w:eastAsia="en-GB"/>
        </w:rPr>
        <w:footnoteReference w:id="109"/>
      </w:r>
      <w:r w:rsidRPr="007245E0">
        <w:rPr>
          <w:rFonts w:eastAsia="Times New Roman" w:cs="Times New Roman"/>
          <w:szCs w:val="24"/>
          <w:lang w:val="en-GB" w:eastAsia="en-GB"/>
        </w:rPr>
        <w:t xml:space="preserve"> </w:t>
      </w:r>
    </w:p>
    <w:p w14:paraId="52567007" w14:textId="57909A87" w:rsidR="00C906D6" w:rsidRPr="007245E0" w:rsidRDefault="00C906D6" w:rsidP="00A61530">
      <w:pPr>
        <w:spacing w:before="24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In Ontario, meanwhile, the reference to patent unreasonableness in the </w:t>
      </w:r>
      <w:r w:rsidRPr="007245E0">
        <w:rPr>
          <w:rFonts w:eastAsia="Times New Roman" w:cs="Times New Roman"/>
          <w:i/>
          <w:iCs/>
          <w:szCs w:val="24"/>
          <w:lang w:val="en-GB" w:eastAsia="en-GB"/>
        </w:rPr>
        <w:t>Human Rights Code</w:t>
      </w:r>
      <w:r w:rsidR="00B35F86" w:rsidRPr="007245E0">
        <w:rPr>
          <w:rStyle w:val="FootnoteReference"/>
          <w:rFonts w:eastAsia="Times New Roman" w:cs="Times New Roman"/>
          <w:szCs w:val="24"/>
          <w:lang w:val="en-GB" w:eastAsia="en-GB"/>
        </w:rPr>
        <w:footnoteReference w:id="110"/>
      </w:r>
      <w:r w:rsidRPr="007245E0">
        <w:rPr>
          <w:rFonts w:eastAsia="Times New Roman" w:cs="Times New Roman"/>
          <w:szCs w:val="24"/>
          <w:lang w:val="en-GB" w:eastAsia="en-GB"/>
        </w:rPr>
        <w:t xml:space="preserve"> continues to be taken to require the application</w:t>
      </w:r>
      <w:r w:rsidR="00A61530">
        <w:rPr>
          <w:rFonts w:eastAsia="Times New Roman" w:cs="Times New Roman"/>
          <w:szCs w:val="24"/>
          <w:lang w:val="en-GB" w:eastAsia="en-GB"/>
        </w:rPr>
        <w:t xml:space="preserve"> of the reasonableness standard (consider</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Intercounty Tennis Association</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Human Rights Tribunal of Ontario</w:t>
      </w:r>
      <w:r w:rsidR="00A61530">
        <w:rPr>
          <w:rFonts w:eastAsia="Times New Roman" w:cs="Times New Roman"/>
          <w:iCs/>
          <w:szCs w:val="24"/>
          <w:lang w:val="en-GB" w:eastAsia="en-GB"/>
        </w:rPr>
        <w:t>)</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11"/>
      </w:r>
      <w:r w:rsidRPr="007245E0">
        <w:rPr>
          <w:rFonts w:eastAsia="Times New Roman" w:cs="Times New Roman"/>
          <w:szCs w:val="24"/>
          <w:lang w:val="en-GB" w:eastAsia="en-GB"/>
        </w:rPr>
        <w:t xml:space="preserve"> Inasmuch as the statute makes reference to a common law concept (patent unreasonableness) which has been assimilated by the courts to another common law concept (reasonableness) this conclusion seems to me to be irresistible. Unlike in British Columbia, the legislature has not attempted to specify the content of patent unreasonableness but rather signalled its willingness to rely on judicial development of patent unreasonableness. The judges have considered since </w:t>
      </w:r>
      <w:r w:rsidRPr="007245E0">
        <w:rPr>
          <w:rFonts w:eastAsia="Times New Roman" w:cs="Times New Roman"/>
          <w:i/>
          <w:iCs/>
          <w:szCs w:val="24"/>
          <w:lang w:val="en-GB" w:eastAsia="en-GB"/>
        </w:rPr>
        <w:t xml:space="preserve">Dunsmuir </w:t>
      </w:r>
      <w:r w:rsidRPr="007245E0">
        <w:rPr>
          <w:rFonts w:eastAsia="Times New Roman" w:cs="Times New Roman"/>
          <w:szCs w:val="24"/>
          <w:lang w:val="en-GB" w:eastAsia="en-GB"/>
        </w:rPr>
        <w:t xml:space="preserve">that the goals of patent unreasonableness can be achieved through the application of the reasonableness standard and, as such, the assimilation of patent unreasonableness to reasonableness does no violence to legislative intent or, to put the point in </w:t>
      </w:r>
      <w:r w:rsidRPr="007245E0">
        <w:rPr>
          <w:rFonts w:eastAsia="Times New Roman" w:cs="Times New Roman"/>
          <w:i/>
          <w:iCs/>
          <w:szCs w:val="24"/>
          <w:lang w:val="en-GB" w:eastAsia="en-GB"/>
        </w:rPr>
        <w:t xml:space="preserve">Vavilovian </w:t>
      </w:r>
      <w:r w:rsidRPr="007245E0">
        <w:rPr>
          <w:rFonts w:eastAsia="Times New Roman" w:cs="Times New Roman"/>
          <w:szCs w:val="24"/>
          <w:lang w:val="en-GB" w:eastAsia="en-GB"/>
        </w:rPr>
        <w:t>terms, the legislature’s institutional design choices.</w:t>
      </w:r>
    </w:p>
    <w:p w14:paraId="59149F4C" w14:textId="6AC5906A"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In </w:t>
      </w:r>
      <w:r w:rsidRPr="007245E0">
        <w:rPr>
          <w:rFonts w:eastAsia="Times New Roman" w:cs="Times New Roman"/>
          <w:i/>
          <w:iCs/>
          <w:szCs w:val="24"/>
          <w:lang w:val="en-GB" w:eastAsia="en-GB"/>
        </w:rPr>
        <w:t>Ponoka Right to Farm Society v Ponoka (County)</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12"/>
      </w:r>
      <w:r w:rsidRPr="007245E0">
        <w:rPr>
          <w:rFonts w:eastAsia="Times New Roman" w:cs="Times New Roman"/>
          <w:szCs w:val="24"/>
          <w:lang w:val="en-GB" w:eastAsia="en-GB"/>
        </w:rPr>
        <w:t xml:space="preserve"> Neilson J considered s 539 of the </w:t>
      </w:r>
      <w:r w:rsidRPr="007245E0">
        <w:rPr>
          <w:rFonts w:eastAsia="Times New Roman" w:cs="Times New Roman"/>
          <w:i/>
          <w:iCs/>
          <w:szCs w:val="24"/>
          <w:lang w:val="en-GB" w:eastAsia="en-GB"/>
        </w:rPr>
        <w:t>Municipal Government Act</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13"/>
      </w:r>
      <w:r w:rsidRPr="007245E0">
        <w:rPr>
          <w:rFonts w:eastAsia="Times New Roman" w:cs="Times New Roman"/>
          <w:szCs w:val="24"/>
          <w:lang w:val="en-GB" w:eastAsia="en-GB"/>
        </w:rPr>
        <w:t xml:space="preserve"> which provides: “No bylaw or resolution may be challenged on the ground that it is unreasonable</w:t>
      </w:r>
      <w:r w:rsidR="00735E7C">
        <w:rPr>
          <w:rFonts w:eastAsia="Times New Roman" w:cs="Times New Roman"/>
          <w:szCs w:val="24"/>
          <w:lang w:val="en-GB" w:eastAsia="en-GB"/>
        </w:rPr>
        <w:t>.”</w:t>
      </w:r>
      <w:r w:rsidRPr="007245E0">
        <w:rPr>
          <w:rFonts w:eastAsia="Times New Roman" w:cs="Times New Roman"/>
          <w:szCs w:val="24"/>
          <w:lang w:val="en-GB" w:eastAsia="en-GB"/>
        </w:rPr>
        <w:t xml:space="preserve"> Following the analysis in </w:t>
      </w:r>
      <w:r w:rsidRPr="007245E0">
        <w:rPr>
          <w:rFonts w:eastAsia="Times New Roman" w:cs="Times New Roman"/>
          <w:i/>
          <w:iCs/>
          <w:szCs w:val="24"/>
          <w:lang w:val="en-GB" w:eastAsia="en-GB"/>
        </w:rPr>
        <w:t>Koebisch v Rocky View County</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14"/>
      </w:r>
      <w:r w:rsidRPr="007245E0">
        <w:rPr>
          <w:rFonts w:eastAsia="Times New Roman" w:cs="Times New Roman"/>
          <w:szCs w:val="24"/>
          <w:lang w:val="en-GB" w:eastAsia="en-GB"/>
        </w:rPr>
        <w:t xml:space="preserve"> Neilson J held that this amounted to a legislative direction to apply the pa</w:t>
      </w:r>
      <w:r w:rsidR="00B35F86" w:rsidRPr="007245E0">
        <w:rPr>
          <w:rFonts w:eastAsia="Times New Roman" w:cs="Times New Roman"/>
          <w:szCs w:val="24"/>
          <w:lang w:val="en-GB" w:eastAsia="en-GB"/>
        </w:rPr>
        <w:t>tent unreasonableness standard</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15"/>
      </w:r>
      <w:r w:rsidRPr="007245E0">
        <w:rPr>
          <w:rFonts w:eastAsia="Times New Roman" w:cs="Times New Roman"/>
          <w:szCs w:val="24"/>
          <w:lang w:val="en-GB" w:eastAsia="en-GB"/>
        </w:rPr>
        <w:t xml:space="preserve"> Section 539 raises quite the conundrum. The idea that it requires the application of the common law patent unreasonableness standard runs into the objection that patent unreasonableness has now been assimilated to reasonableness as a matter of common law. Inasmuch as there is any legislative intent, it points as much to the reasonableness standard as it does to the patent unreasonableness standard. Of course, this suggests that s 539’s bar to reasonableness review is meaningless. But I would not be too quick to jump to this conclusion. As the majority explained in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16"/>
      </w:r>
      <w:r w:rsidRPr="007245E0">
        <w:rPr>
          <w:rFonts w:eastAsia="Times New Roman" w:cs="Times New Roman"/>
          <w:szCs w:val="24"/>
          <w:lang w:val="en-GB" w:eastAsia="en-GB"/>
        </w:rPr>
        <w:t xml:space="preserve"> some statutory language </w:t>
      </w:r>
      <w:r w:rsidR="0030504D">
        <w:rPr>
          <w:rFonts w:eastAsia="Times New Roman" w:cs="Times New Roman"/>
          <w:szCs w:val="24"/>
          <w:lang w:val="en-GB" w:eastAsia="en-GB"/>
        </w:rPr>
        <w:t>“contemplates that the decision-</w:t>
      </w:r>
      <w:r w:rsidRPr="007245E0">
        <w:rPr>
          <w:rFonts w:eastAsia="Times New Roman" w:cs="Times New Roman"/>
          <w:szCs w:val="24"/>
          <w:lang w:val="en-GB" w:eastAsia="en-GB"/>
        </w:rPr>
        <w:t>maker is to have greater flexibility in interpreting the meaning of such language</w:t>
      </w:r>
      <w:r w:rsidR="0030504D">
        <w:rPr>
          <w:rFonts w:eastAsia="Times New Roman" w:cs="Times New Roman"/>
          <w:szCs w:val="24"/>
          <w:lang w:val="en-GB" w:eastAsia="en-GB"/>
        </w:rPr>
        <w:t>.”</w:t>
      </w:r>
      <w:r w:rsidRPr="007245E0">
        <w:rPr>
          <w:rFonts w:eastAsia="Times New Roman" w:cs="Times New Roman"/>
          <w:szCs w:val="24"/>
          <w:lang w:val="en-GB" w:eastAsia="en-GB"/>
        </w:rPr>
        <w:t xml:space="preserve"> Section 539 can, accordingly, be understood to provide “greater flexibility” to municipalities. It is not necessary to breath</w:t>
      </w:r>
      <w:r w:rsidR="00B35F86" w:rsidRPr="007245E0">
        <w:rPr>
          <w:rFonts w:eastAsia="Times New Roman" w:cs="Times New Roman"/>
          <w:szCs w:val="24"/>
          <w:lang w:val="en-GB" w:eastAsia="en-GB"/>
        </w:rPr>
        <w:t>e</w:t>
      </w:r>
      <w:r w:rsidRPr="007245E0">
        <w:rPr>
          <w:rFonts w:eastAsia="Times New Roman" w:cs="Times New Roman"/>
          <w:szCs w:val="24"/>
          <w:lang w:val="en-GB" w:eastAsia="en-GB"/>
        </w:rPr>
        <w:t xml:space="preserve"> new life into the patent unreasonableness standard. My approach to s 539 also avoids a pote</w:t>
      </w:r>
      <w:r w:rsidR="00B35F86" w:rsidRPr="007245E0">
        <w:rPr>
          <w:rFonts w:eastAsia="Times New Roman" w:cs="Times New Roman"/>
          <w:szCs w:val="24"/>
          <w:lang w:val="en-GB" w:eastAsia="en-GB"/>
        </w:rPr>
        <w:t>ntial constitutional objection</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17"/>
      </w:r>
      <w:r w:rsidRPr="007245E0">
        <w:rPr>
          <w:rFonts w:eastAsia="Times New Roman" w:cs="Times New Roman"/>
          <w:szCs w:val="24"/>
          <w:lang w:val="en-GB" w:eastAsia="en-GB"/>
        </w:rPr>
        <w:t xml:space="preserve"> robust reasonableness review might be part of the constitutional core minimum </w:t>
      </w:r>
      <w:r w:rsidRPr="007245E0">
        <w:rPr>
          <w:rFonts w:eastAsia="Times New Roman" w:cs="Times New Roman"/>
          <w:szCs w:val="24"/>
          <w:lang w:val="en-GB" w:eastAsia="en-GB"/>
        </w:rPr>
        <w:lastRenderedPageBreak/>
        <w:t xml:space="preserve">of judicial review; if so, s 539 might be unconstitutional. Of course, the majority in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is not at all clear on what’s entrenched and what’s not entrenched, and s 539 is not a complete ouster (as it leaves cor</w:t>
      </w:r>
      <w:r w:rsidR="0030504D">
        <w:rPr>
          <w:rFonts w:eastAsia="Times New Roman" w:cs="Times New Roman"/>
          <w:szCs w:val="24"/>
          <w:lang w:val="en-GB" w:eastAsia="en-GB"/>
        </w:rPr>
        <w:t>rectness review in place). However, a</w:t>
      </w:r>
      <w:r w:rsidRPr="007245E0">
        <w:rPr>
          <w:rFonts w:eastAsia="Times New Roman" w:cs="Times New Roman"/>
          <w:szCs w:val="24"/>
          <w:lang w:val="en-GB" w:eastAsia="en-GB"/>
        </w:rPr>
        <w:t xml:space="preserve">llowing legislatures to oust reasonableness review would surely be constitutionally dubious at best in view of the importance accorded to “robust” reasonableness review in </w:t>
      </w:r>
      <w:r w:rsidRPr="007245E0">
        <w:rPr>
          <w:rFonts w:eastAsia="Times New Roman" w:cs="Times New Roman"/>
          <w:i/>
          <w:iCs/>
          <w:szCs w:val="24"/>
          <w:lang w:val="en-GB" w:eastAsia="en-GB"/>
        </w:rPr>
        <w:t>Vavilov</w:t>
      </w:r>
      <w:r w:rsidRPr="007245E0">
        <w:rPr>
          <w:rFonts w:eastAsia="Times New Roman" w:cs="Times New Roman"/>
          <w:szCs w:val="24"/>
          <w:lang w:val="en-GB" w:eastAsia="en-GB"/>
        </w:rPr>
        <w:t>.</w:t>
      </w:r>
    </w:p>
    <w:p w14:paraId="07300FE3" w14:textId="77777777" w:rsidR="00C906D6" w:rsidRPr="007245E0" w:rsidRDefault="00C906D6" w:rsidP="00B35F86">
      <w:pPr>
        <w:pStyle w:val="Heading1"/>
        <w:numPr>
          <w:ilvl w:val="0"/>
          <w:numId w:val="1"/>
        </w:numPr>
      </w:pPr>
      <w:r w:rsidRPr="007245E0">
        <w:t>Remedies</w:t>
      </w:r>
    </w:p>
    <w:p w14:paraId="59DE32CF" w14:textId="4BBE4BB9" w:rsidR="00C906D6" w:rsidRPr="007245E0" w:rsidRDefault="00C906D6" w:rsidP="00C906D6">
      <w:pPr>
        <w:spacing w:before="100" w:beforeAutospacing="1" w:after="100" w:afterAutospacing="1" w:line="240" w:lineRule="auto"/>
        <w:rPr>
          <w:rFonts w:eastAsia="Times New Roman" w:cs="Times New Roman"/>
          <w:szCs w:val="24"/>
          <w:lang w:val="en-GB" w:eastAsia="en-GB"/>
        </w:rPr>
      </w:pPr>
      <w:r w:rsidRPr="007245E0">
        <w:rPr>
          <w:rFonts w:eastAsia="Times New Roman" w:cs="Times New Roman"/>
          <w:szCs w:val="24"/>
          <w:lang w:val="en-GB" w:eastAsia="en-GB"/>
        </w:rPr>
        <w:t xml:space="preserve">Judges do not seem to have jumped on the suggestion that they might </w:t>
      </w:r>
      <w:r w:rsidRPr="007245E0">
        <w:rPr>
          <w:rFonts w:eastAsia="Times New Roman" w:cs="Times New Roman"/>
          <w:bCs/>
          <w:szCs w:val="24"/>
          <w:lang w:val="en-GB" w:eastAsia="en-GB"/>
        </w:rPr>
        <w:t>refuse to remit a matter</w:t>
      </w:r>
      <w:r w:rsidRPr="007245E0">
        <w:rPr>
          <w:rFonts w:eastAsia="Times New Roman" w:cs="Times New Roman"/>
          <w:szCs w:val="24"/>
          <w:lang w:val="en-GB" w:eastAsia="en-GB"/>
        </w:rPr>
        <w:t xml:space="preserve"> consequent on a finding of unlawfulness where it is “evident” that a “par</w:t>
      </w:r>
      <w:r w:rsidR="00B35F86" w:rsidRPr="007245E0">
        <w:rPr>
          <w:rFonts w:eastAsia="Times New Roman" w:cs="Times New Roman"/>
          <w:szCs w:val="24"/>
          <w:lang w:val="en-GB" w:eastAsia="en-GB"/>
        </w:rPr>
        <w:t>ticular outcome is inevitable</w:t>
      </w:r>
      <w:r w:rsidR="0030504D">
        <w:rPr>
          <w:rFonts w:eastAsia="Times New Roman" w:cs="Times New Roman"/>
          <w:szCs w:val="24"/>
          <w:lang w:val="en-GB" w:eastAsia="en-GB"/>
        </w:rPr>
        <w:t>.</w:t>
      </w:r>
      <w:r w:rsidR="00B35F86"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18"/>
      </w:r>
      <w:r w:rsidRPr="007245E0">
        <w:rPr>
          <w:rFonts w:eastAsia="Times New Roman" w:cs="Times New Roman"/>
          <w:szCs w:val="24"/>
          <w:lang w:val="en-GB" w:eastAsia="en-GB"/>
        </w:rPr>
        <w:t xml:space="preserve"> In </w:t>
      </w:r>
      <w:r w:rsidRPr="007245E0">
        <w:rPr>
          <w:rFonts w:eastAsia="Times New Roman" w:cs="Times New Roman"/>
          <w:i/>
          <w:iCs/>
          <w:szCs w:val="24"/>
          <w:lang w:val="en-GB" w:eastAsia="en-GB"/>
        </w:rPr>
        <w:t>Canadian Broadcasting Corporation</w:t>
      </w:r>
      <w:r w:rsidR="00087CA5">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Ferrier</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19"/>
      </w:r>
      <w:r w:rsidRPr="007245E0">
        <w:rPr>
          <w:rFonts w:eastAsia="Times New Roman" w:cs="Times New Roman"/>
          <w:szCs w:val="24"/>
          <w:lang w:val="en-GB" w:eastAsia="en-GB"/>
        </w:rPr>
        <w:t xml:space="preserve"> for example, Sharpe JA remitted to the decision-maker the question of the applicability of the open court principle to police board hearings (here, a preliminary hearing on whether the time period for reporting alleged police misconduct should be extended). Sharpe JA remitted the question even though much of his analysis was conducte</w:t>
      </w:r>
      <w:r w:rsidR="00B35F86" w:rsidRPr="007245E0">
        <w:rPr>
          <w:rFonts w:eastAsia="Times New Roman" w:cs="Times New Roman"/>
          <w:szCs w:val="24"/>
          <w:lang w:val="en-GB" w:eastAsia="en-GB"/>
        </w:rPr>
        <w:t>d on a standard of correctness</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20"/>
      </w:r>
      <w:r w:rsidRPr="007245E0">
        <w:rPr>
          <w:rFonts w:eastAsia="Times New Roman" w:cs="Times New Roman"/>
          <w:szCs w:val="24"/>
          <w:lang w:val="en-GB" w:eastAsia="en-GB"/>
        </w:rPr>
        <w:t xml:space="preserve"> he had little doubt that a recent Ontario Court of Appeal decision</w:t>
      </w:r>
      <w:r w:rsidR="00B35F86" w:rsidRPr="007245E0">
        <w:rPr>
          <w:rStyle w:val="FootnoteReference"/>
          <w:rFonts w:eastAsia="Times New Roman" w:cs="Times New Roman"/>
          <w:szCs w:val="24"/>
          <w:lang w:val="en-GB" w:eastAsia="en-GB"/>
        </w:rPr>
        <w:footnoteReference w:id="121"/>
      </w:r>
      <w:r w:rsidRPr="007245E0">
        <w:rPr>
          <w:rFonts w:eastAsia="Times New Roman" w:cs="Times New Roman"/>
          <w:szCs w:val="24"/>
          <w:lang w:val="en-GB" w:eastAsia="en-GB"/>
        </w:rPr>
        <w:t xml:space="preserve"> on the application of the open court principle to police </w:t>
      </w:r>
      <w:r w:rsidR="00B35F86" w:rsidRPr="007245E0">
        <w:rPr>
          <w:rFonts w:eastAsia="Times New Roman" w:cs="Times New Roman"/>
          <w:szCs w:val="24"/>
          <w:lang w:val="en-GB" w:eastAsia="en-GB"/>
        </w:rPr>
        <w:t>board hearings was dispositive</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22"/>
      </w:r>
      <w:r w:rsidRPr="007245E0">
        <w:rPr>
          <w:rFonts w:eastAsia="Times New Roman" w:cs="Times New Roman"/>
          <w:szCs w:val="24"/>
          <w:lang w:val="en-GB" w:eastAsia="en-GB"/>
        </w:rPr>
        <w:t xml:space="preserve"> and the judicial review proceedings had already slowed down a process</w:t>
      </w:r>
      <w:r w:rsidR="00B35F86" w:rsidRPr="007245E0">
        <w:rPr>
          <w:rFonts w:eastAsia="Times New Roman" w:cs="Times New Roman"/>
          <w:szCs w:val="24"/>
          <w:lang w:val="en-GB" w:eastAsia="en-GB"/>
        </w:rPr>
        <w:t xml:space="preserve"> which was moving quite slowly</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23"/>
      </w:r>
      <w:r w:rsidRPr="007245E0">
        <w:rPr>
          <w:rFonts w:eastAsia="Times New Roman" w:cs="Times New Roman"/>
          <w:szCs w:val="24"/>
          <w:lang w:val="en-GB" w:eastAsia="en-GB"/>
        </w:rPr>
        <w:t xml:space="preserve"> On balance, Sharpe JA concluded, the decision-maker “should be permitted to take another look at the matter with the benefit” of the recent decision in </w:t>
      </w:r>
      <w:r w:rsidRPr="007245E0">
        <w:rPr>
          <w:rFonts w:eastAsia="Times New Roman" w:cs="Times New Roman"/>
          <w:i/>
          <w:iCs/>
          <w:szCs w:val="24"/>
          <w:lang w:val="en-GB" w:eastAsia="en-GB"/>
        </w:rPr>
        <w:t>Langenfeld</w:t>
      </w:r>
      <w:r w:rsidRPr="007245E0">
        <w:rPr>
          <w:rFonts w:eastAsia="Times New Roman" w:cs="Times New Roman"/>
          <w:szCs w:val="24"/>
          <w:lang w:val="en-GB" w:eastAsia="en-GB"/>
        </w:rPr>
        <w:t>.</w:t>
      </w:r>
      <w:r w:rsidR="00B35F86" w:rsidRPr="007245E0">
        <w:rPr>
          <w:rStyle w:val="FootnoteReference"/>
          <w:rFonts w:eastAsia="Times New Roman" w:cs="Times New Roman"/>
          <w:szCs w:val="24"/>
          <w:lang w:val="en-GB" w:eastAsia="en-GB"/>
        </w:rPr>
        <w:footnoteReference w:id="124"/>
      </w:r>
      <w:r w:rsidRPr="007245E0">
        <w:rPr>
          <w:rFonts w:eastAsia="Times New Roman" w:cs="Times New Roman"/>
          <w:szCs w:val="24"/>
          <w:lang w:val="en-GB" w:eastAsia="en-GB"/>
        </w:rPr>
        <w:t xml:space="preserve"> I think Sharpe JA was quite right to remit the matter, </w:t>
      </w:r>
      <w:bookmarkStart w:id="1" w:name="_GoBack"/>
      <w:bookmarkEnd w:id="1"/>
      <w:r w:rsidRPr="007245E0">
        <w:rPr>
          <w:rFonts w:eastAsia="Times New Roman" w:cs="Times New Roman"/>
          <w:szCs w:val="24"/>
          <w:lang w:val="en-GB" w:eastAsia="en-GB"/>
        </w:rPr>
        <w:t xml:space="preserve">especially because the issues in </w:t>
      </w:r>
      <w:r w:rsidRPr="007245E0">
        <w:rPr>
          <w:rFonts w:eastAsia="Times New Roman" w:cs="Times New Roman"/>
          <w:i/>
          <w:iCs/>
          <w:szCs w:val="24"/>
          <w:lang w:val="en-GB" w:eastAsia="en-GB"/>
        </w:rPr>
        <w:t xml:space="preserve">Ferrier </w:t>
      </w:r>
      <w:r w:rsidRPr="007245E0">
        <w:rPr>
          <w:rFonts w:eastAsia="Times New Roman" w:cs="Times New Roman"/>
          <w:szCs w:val="24"/>
          <w:lang w:val="en-GB" w:eastAsia="en-GB"/>
        </w:rPr>
        <w:t xml:space="preserve">and </w:t>
      </w:r>
      <w:r w:rsidRPr="007245E0">
        <w:rPr>
          <w:rFonts w:eastAsia="Times New Roman" w:cs="Times New Roman"/>
          <w:i/>
          <w:iCs/>
          <w:szCs w:val="24"/>
          <w:lang w:val="en-GB" w:eastAsia="en-GB"/>
        </w:rPr>
        <w:t>Langenfeld</w:t>
      </w:r>
      <w:r w:rsidR="007245E0" w:rsidRPr="007245E0">
        <w:rPr>
          <w:rFonts w:eastAsia="Times New Roman" w:cs="Times New Roman"/>
          <w:szCs w:val="24"/>
          <w:lang w:val="en-GB" w:eastAsia="en-GB"/>
        </w:rPr>
        <w:t xml:space="preserve"> arose in different contexts</w:t>
      </w:r>
      <w:r w:rsidRPr="007245E0">
        <w:rPr>
          <w:rFonts w:eastAsia="Times New Roman" w:cs="Times New Roman"/>
          <w:szCs w:val="24"/>
          <w:lang w:val="en-GB" w:eastAsia="en-GB"/>
        </w:rPr>
        <w:t>.</w:t>
      </w:r>
      <w:r w:rsidR="007245E0" w:rsidRPr="007245E0">
        <w:rPr>
          <w:rStyle w:val="FootnoteReference"/>
          <w:rFonts w:eastAsia="Times New Roman" w:cs="Times New Roman"/>
          <w:szCs w:val="24"/>
          <w:lang w:val="en-GB" w:eastAsia="en-GB"/>
        </w:rPr>
        <w:footnoteReference w:id="125"/>
      </w:r>
      <w:r w:rsidRPr="007245E0">
        <w:rPr>
          <w:rFonts w:eastAsia="Times New Roman" w:cs="Times New Roman"/>
          <w:szCs w:val="24"/>
          <w:lang w:val="en-GB" w:eastAsia="en-GB"/>
        </w:rPr>
        <w:t xml:space="preserve"> </w:t>
      </w:r>
    </w:p>
    <w:p w14:paraId="3C5003A5" w14:textId="77777777" w:rsidR="00896A63" w:rsidRPr="007245E0" w:rsidRDefault="00896A63"/>
    <w:sectPr w:rsidR="00896A63" w:rsidRPr="007245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71DF" w14:textId="77777777" w:rsidR="009D460F" w:rsidRDefault="009D460F" w:rsidP="00C906D6">
      <w:pPr>
        <w:spacing w:after="0" w:line="240" w:lineRule="auto"/>
      </w:pPr>
      <w:r>
        <w:separator/>
      </w:r>
    </w:p>
  </w:endnote>
  <w:endnote w:type="continuationSeparator" w:id="0">
    <w:p w14:paraId="06D05CD3" w14:textId="77777777" w:rsidR="009D460F" w:rsidRDefault="009D460F" w:rsidP="00C9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8CCC7" w14:textId="77777777" w:rsidR="009D460F" w:rsidRDefault="009D460F" w:rsidP="00C906D6">
      <w:pPr>
        <w:spacing w:after="0" w:line="240" w:lineRule="auto"/>
      </w:pPr>
      <w:r>
        <w:separator/>
      </w:r>
    </w:p>
  </w:footnote>
  <w:footnote w:type="continuationSeparator" w:id="0">
    <w:p w14:paraId="60C23F24" w14:textId="77777777" w:rsidR="009D460F" w:rsidRDefault="009D460F" w:rsidP="00C906D6">
      <w:pPr>
        <w:spacing w:after="0" w:line="240" w:lineRule="auto"/>
      </w:pPr>
      <w:r>
        <w:continuationSeparator/>
      </w:r>
    </w:p>
  </w:footnote>
  <w:footnote w:id="1">
    <w:p w14:paraId="5E584B4A"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lang w:val="en-GB"/>
        </w:rPr>
        <w:t>2019 SCC 65.</w:t>
      </w:r>
    </w:p>
  </w:footnote>
  <w:footnote w:id="2">
    <w:p w14:paraId="7C4D381C" w14:textId="384218A3" w:rsidR="001B3AC6" w:rsidRPr="007245E0" w:rsidRDefault="001B3AC6">
      <w:pPr>
        <w:pStyle w:val="FootnoteText"/>
        <w:rPr>
          <w:lang w:val="en-GB"/>
        </w:rPr>
      </w:pPr>
      <w:r w:rsidRPr="007245E0">
        <w:rPr>
          <w:rStyle w:val="FootnoteReference"/>
        </w:rPr>
        <w:footnoteRef/>
      </w:r>
      <w:r w:rsidRPr="007245E0">
        <w:rPr>
          <w:lang w:val="fr-CA"/>
        </w:rPr>
        <w:t xml:space="preserve"> </w:t>
      </w:r>
      <w:r>
        <w:rPr>
          <w:rFonts w:eastAsia="Times New Roman" w:cs="Times New Roman"/>
          <w:i/>
          <w:iCs/>
          <w:szCs w:val="24"/>
          <w:lang w:val="fr-CA" w:eastAsia="en-GB"/>
        </w:rPr>
        <w:t>Lamoureux c</w:t>
      </w:r>
      <w:r w:rsidRPr="007245E0">
        <w:rPr>
          <w:rFonts w:eastAsia="Times New Roman" w:cs="Times New Roman"/>
          <w:i/>
          <w:iCs/>
          <w:szCs w:val="24"/>
          <w:lang w:val="fr-CA" w:eastAsia="en-GB"/>
        </w:rPr>
        <w:t xml:space="preserve"> Cour du Québec</w:t>
      </w:r>
      <w:r>
        <w:rPr>
          <w:rFonts w:eastAsia="Times New Roman" w:cs="Times New Roman"/>
          <w:szCs w:val="24"/>
          <w:lang w:val="fr-CA" w:eastAsia="en-GB"/>
        </w:rPr>
        <w:t>, 2020 QCCS 619</w:t>
      </w:r>
      <w:r w:rsidRPr="007245E0">
        <w:rPr>
          <w:rFonts w:eastAsia="Times New Roman" w:cs="Times New Roman"/>
          <w:szCs w:val="24"/>
          <w:lang w:val="fr-CA" w:eastAsia="en-GB"/>
        </w:rPr>
        <w:t xml:space="preserve"> at paras </w:t>
      </w:r>
      <w:r w:rsidRPr="007245E0">
        <w:rPr>
          <w:rFonts w:eastAsia="Times New Roman" w:cs="Times New Roman"/>
          <w:szCs w:val="24"/>
          <w:lang w:val="en-GB" w:eastAsia="en-GB"/>
        </w:rPr>
        <w:t>5-11.</w:t>
      </w:r>
    </w:p>
  </w:footnote>
  <w:footnote w:id="3">
    <w:p w14:paraId="396E8F65" w14:textId="732E7B13" w:rsidR="001B3AC6" w:rsidRPr="007245E0" w:rsidRDefault="001B3AC6">
      <w:pPr>
        <w:pStyle w:val="FootnoteText"/>
        <w:rPr>
          <w:lang w:val="en-GB"/>
        </w:rPr>
      </w:pPr>
      <w:r w:rsidRPr="007245E0">
        <w:rPr>
          <w:rStyle w:val="FootnoteReference"/>
        </w:rPr>
        <w:footnoteRef/>
      </w:r>
      <w:r w:rsidRPr="007245E0">
        <w:rPr>
          <w:lang w:val="fr-CA"/>
        </w:rPr>
        <w:t xml:space="preserve"> </w:t>
      </w:r>
      <w:r w:rsidRPr="007245E0">
        <w:rPr>
          <w:rFonts w:eastAsia="Times New Roman" w:cs="Times New Roman"/>
          <w:szCs w:val="24"/>
          <w:lang w:val="fr-CA" w:eastAsia="en-GB"/>
        </w:rPr>
        <w:t xml:space="preserve">See </w:t>
      </w:r>
      <w:r w:rsidRPr="00976005">
        <w:rPr>
          <w:rFonts w:eastAsia="Times New Roman" w:cs="Times New Roman"/>
          <w:szCs w:val="24"/>
          <w:lang w:val="fr-CA" w:eastAsia="en-GB"/>
        </w:rPr>
        <w:t xml:space="preserve">e.g. </w:t>
      </w:r>
      <w:r w:rsidRPr="007245E0">
        <w:rPr>
          <w:rFonts w:eastAsia="Times New Roman" w:cs="Times New Roman"/>
          <w:i/>
          <w:iCs/>
          <w:szCs w:val="24"/>
          <w:lang w:val="fr-CA" w:eastAsia="en-GB"/>
        </w:rPr>
        <w:t xml:space="preserve">Centre intégré de santé et de services sociaux </w:t>
      </w:r>
      <w:r>
        <w:rPr>
          <w:rFonts w:eastAsia="Times New Roman" w:cs="Times New Roman"/>
          <w:i/>
          <w:iCs/>
          <w:szCs w:val="24"/>
          <w:lang w:val="fr-CA" w:eastAsia="en-GB"/>
        </w:rPr>
        <w:t>des Laurentides c</w:t>
      </w:r>
      <w:r w:rsidRPr="007245E0">
        <w:rPr>
          <w:rFonts w:eastAsia="Times New Roman" w:cs="Times New Roman"/>
          <w:i/>
          <w:iCs/>
          <w:szCs w:val="24"/>
          <w:lang w:val="fr-CA" w:eastAsia="en-GB"/>
        </w:rPr>
        <w:t xml:space="preserve"> Roy</w:t>
      </w:r>
      <w:r>
        <w:rPr>
          <w:rFonts w:eastAsia="Times New Roman" w:cs="Times New Roman"/>
          <w:szCs w:val="24"/>
          <w:lang w:val="fr-CA" w:eastAsia="en-GB"/>
        </w:rPr>
        <w:t>, 2020 QCCS 230</w:t>
      </w:r>
      <w:r w:rsidRPr="007245E0">
        <w:rPr>
          <w:rFonts w:eastAsia="Times New Roman" w:cs="Times New Roman"/>
          <w:szCs w:val="24"/>
          <w:lang w:val="fr-CA" w:eastAsia="en-GB"/>
        </w:rPr>
        <w:t xml:space="preserve"> at </w:t>
      </w:r>
      <w:r>
        <w:rPr>
          <w:rFonts w:eastAsia="Times New Roman" w:cs="Times New Roman"/>
          <w:szCs w:val="24"/>
          <w:lang w:val="fr-CA" w:eastAsia="en-GB"/>
        </w:rPr>
        <w:t>para</w:t>
      </w:r>
      <w:r w:rsidRPr="007245E0">
        <w:rPr>
          <w:rFonts w:eastAsia="Times New Roman" w:cs="Times New Roman"/>
          <w:szCs w:val="24"/>
          <w:lang w:val="fr-CA" w:eastAsia="en-GB"/>
        </w:rPr>
        <w:t xml:space="preserve"> 45; </w:t>
      </w:r>
      <w:r w:rsidRPr="007245E0">
        <w:rPr>
          <w:rFonts w:eastAsia="Times New Roman" w:cs="Times New Roman"/>
          <w:i/>
          <w:iCs/>
          <w:szCs w:val="24"/>
          <w:lang w:val="fr-CA" w:eastAsia="en-GB"/>
        </w:rPr>
        <w:t>Syndicat d</w:t>
      </w:r>
      <w:r>
        <w:rPr>
          <w:rFonts w:eastAsia="Times New Roman" w:cs="Times New Roman"/>
          <w:i/>
          <w:iCs/>
          <w:szCs w:val="24"/>
          <w:lang w:val="fr-CA" w:eastAsia="en-GB"/>
        </w:rPr>
        <w:t>e l’enseignement de Champlain c</w:t>
      </w:r>
      <w:r w:rsidRPr="007245E0">
        <w:rPr>
          <w:rFonts w:eastAsia="Times New Roman" w:cs="Times New Roman"/>
          <w:i/>
          <w:iCs/>
          <w:szCs w:val="24"/>
          <w:lang w:val="fr-CA" w:eastAsia="en-GB"/>
        </w:rPr>
        <w:t xml:space="preserve"> Commission scolaire Marie-Victorin</w:t>
      </w:r>
      <w:r>
        <w:rPr>
          <w:rFonts w:eastAsia="Times New Roman" w:cs="Times New Roman"/>
          <w:szCs w:val="24"/>
          <w:lang w:val="fr-CA" w:eastAsia="en-GB"/>
        </w:rPr>
        <w:t>, 2020 QCCA 135</w:t>
      </w:r>
      <w:r w:rsidRPr="007245E0">
        <w:rPr>
          <w:rFonts w:eastAsia="Times New Roman" w:cs="Times New Roman"/>
          <w:szCs w:val="24"/>
          <w:lang w:val="fr-CA" w:eastAsia="en-GB"/>
        </w:rPr>
        <w:t xml:space="preserve"> at </w:t>
      </w:r>
      <w:r>
        <w:rPr>
          <w:rFonts w:eastAsia="Times New Roman" w:cs="Times New Roman"/>
          <w:szCs w:val="24"/>
          <w:lang w:val="fr-CA" w:eastAsia="en-GB"/>
        </w:rPr>
        <w:t>para</w:t>
      </w:r>
      <w:r w:rsidRPr="007245E0">
        <w:rPr>
          <w:rFonts w:eastAsia="Times New Roman" w:cs="Times New Roman"/>
          <w:szCs w:val="24"/>
          <w:lang w:val="fr-CA" w:eastAsia="en-GB"/>
        </w:rPr>
        <w:t xml:space="preserve"> </w:t>
      </w:r>
      <w:r w:rsidRPr="007245E0">
        <w:rPr>
          <w:rFonts w:eastAsia="Times New Roman" w:cs="Times New Roman"/>
          <w:szCs w:val="24"/>
          <w:lang w:val="en-GB" w:eastAsia="en-GB"/>
        </w:rPr>
        <w:t xml:space="preserve">31; </w:t>
      </w:r>
      <w:r>
        <w:rPr>
          <w:rFonts w:eastAsia="Times New Roman" w:cs="Times New Roman"/>
          <w:i/>
          <w:iCs/>
          <w:szCs w:val="24"/>
          <w:lang w:val="en-GB" w:eastAsia="en-GB"/>
        </w:rPr>
        <w:t>Beals v</w:t>
      </w:r>
      <w:r w:rsidRPr="007245E0">
        <w:rPr>
          <w:rFonts w:eastAsia="Times New Roman" w:cs="Times New Roman"/>
          <w:i/>
          <w:iCs/>
          <w:szCs w:val="24"/>
          <w:lang w:val="en-GB" w:eastAsia="en-GB"/>
        </w:rPr>
        <w:t xml:space="preserve"> Nova Scotia </w:t>
      </w:r>
      <w:r>
        <w:rPr>
          <w:rFonts w:eastAsia="Times New Roman" w:cs="Times New Roman"/>
          <w:i/>
          <w:iCs/>
          <w:szCs w:val="24"/>
          <w:lang w:val="en-GB" w:eastAsia="en-GB"/>
        </w:rPr>
        <w:t>(AG)</w:t>
      </w:r>
      <w:r>
        <w:rPr>
          <w:rFonts w:eastAsia="Times New Roman" w:cs="Times New Roman"/>
          <w:szCs w:val="24"/>
          <w:lang w:val="en-GB" w:eastAsia="en-GB"/>
        </w:rPr>
        <w:t>, 2020 NSSC 60</w:t>
      </w:r>
      <w:r w:rsidRPr="007245E0">
        <w:rPr>
          <w:rFonts w:eastAsia="Times New Roman" w:cs="Times New Roman"/>
          <w:szCs w:val="24"/>
          <w:lang w:val="en-GB" w:eastAsia="en-GB"/>
        </w:rPr>
        <w:t xml:space="preserve"> at </w:t>
      </w:r>
      <w:r>
        <w:rPr>
          <w:rFonts w:eastAsia="Times New Roman" w:cs="Times New Roman"/>
          <w:szCs w:val="24"/>
          <w:lang w:val="en-GB" w:eastAsia="en-GB"/>
        </w:rPr>
        <w:t>paras</w:t>
      </w:r>
      <w:r w:rsidRPr="007245E0">
        <w:rPr>
          <w:rFonts w:eastAsia="Times New Roman" w:cs="Times New Roman"/>
          <w:szCs w:val="24"/>
          <w:lang w:val="en-GB" w:eastAsia="en-GB"/>
        </w:rPr>
        <w:t xml:space="preserve"> 18-19.</w:t>
      </w:r>
    </w:p>
  </w:footnote>
  <w:footnote w:id="4">
    <w:p w14:paraId="617FEE08" w14:textId="5934736C"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w:t>
      </w:r>
      <w:r w:rsidRPr="00976005">
        <w:rPr>
          <w:rFonts w:eastAsia="Times New Roman" w:cs="Times New Roman"/>
          <w:szCs w:val="24"/>
          <w:lang w:val="en-GB" w:eastAsia="en-GB"/>
        </w:rPr>
        <w:t xml:space="preserve">e.g. </w:t>
      </w:r>
      <w:hyperlink r:id="rId1" w:history="1">
        <w:r w:rsidRPr="007245E0">
          <w:rPr>
            <w:rFonts w:eastAsia="Times New Roman" w:cs="Times New Roman"/>
            <w:i/>
            <w:iCs/>
            <w:szCs w:val="24"/>
            <w:lang w:val="en-GB" w:eastAsia="en-GB"/>
          </w:rPr>
          <w:t>Cana</w:t>
        </w:r>
        <w:r>
          <w:rPr>
            <w:rFonts w:eastAsia="Times New Roman" w:cs="Times New Roman"/>
            <w:i/>
            <w:iCs/>
            <w:szCs w:val="24"/>
            <w:lang w:val="en-GB" w:eastAsia="en-GB"/>
          </w:rPr>
          <w:t>dian National Railway Company v</w:t>
        </w:r>
        <w:r w:rsidRPr="007245E0">
          <w:rPr>
            <w:rFonts w:eastAsia="Times New Roman" w:cs="Times New Roman"/>
            <w:i/>
            <w:iCs/>
            <w:szCs w:val="24"/>
            <w:lang w:val="en-GB" w:eastAsia="en-GB"/>
          </w:rPr>
          <w:t xml:space="preserve"> Richardson International Limited</w:t>
        </w:r>
      </w:hyperlink>
      <w:r>
        <w:rPr>
          <w:rFonts w:eastAsia="Times New Roman" w:cs="Times New Roman"/>
          <w:szCs w:val="24"/>
          <w:lang w:val="en-GB" w:eastAsia="en-GB"/>
        </w:rPr>
        <w:t>, 2020 FCA 20</w:t>
      </w:r>
      <w:r w:rsidRPr="007245E0">
        <w:rPr>
          <w:rFonts w:eastAsia="Times New Roman" w:cs="Times New Roman"/>
          <w:szCs w:val="24"/>
          <w:lang w:val="en-GB" w:eastAsia="en-GB"/>
        </w:rPr>
        <w:t xml:space="preserve"> at </w:t>
      </w:r>
      <w:r>
        <w:rPr>
          <w:rFonts w:eastAsia="Times New Roman" w:cs="Times New Roman"/>
          <w:szCs w:val="24"/>
          <w:lang w:val="en-GB" w:eastAsia="en-GB"/>
        </w:rPr>
        <w:t>paras</w:t>
      </w:r>
      <w:r w:rsidRPr="007245E0">
        <w:rPr>
          <w:rFonts w:eastAsia="Times New Roman" w:cs="Times New Roman"/>
          <w:szCs w:val="24"/>
          <w:lang w:val="en-GB" w:eastAsia="en-GB"/>
        </w:rPr>
        <w:t xml:space="preserve"> 41-44.</w:t>
      </w:r>
    </w:p>
  </w:footnote>
  <w:footnote w:id="5">
    <w:p w14:paraId="03DB88AB" w14:textId="4C3CE940"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w:t>
      </w:r>
      <w:r w:rsidRPr="00976005">
        <w:rPr>
          <w:rFonts w:eastAsia="Times New Roman" w:cs="Times New Roman"/>
          <w:iCs/>
          <w:szCs w:val="24"/>
          <w:lang w:val="en-GB" w:eastAsia="en-GB"/>
        </w:rPr>
        <w:t>e.g.</w:t>
      </w:r>
      <w:r>
        <w:rPr>
          <w:rFonts w:eastAsia="Times New Roman" w:cs="Times New Roman"/>
          <w:i/>
          <w:iCs/>
          <w:szCs w:val="24"/>
          <w:lang w:val="en-GB" w:eastAsia="en-GB"/>
        </w:rPr>
        <w:t xml:space="preserve"> Macfarlane v</w:t>
      </w:r>
      <w:r w:rsidRPr="007245E0">
        <w:rPr>
          <w:rFonts w:eastAsia="Times New Roman" w:cs="Times New Roman"/>
          <w:i/>
          <w:iCs/>
          <w:szCs w:val="24"/>
          <w:lang w:val="en-GB" w:eastAsia="en-GB"/>
        </w:rPr>
        <w:t xml:space="preserve"> Canada </w:t>
      </w:r>
      <w:r>
        <w:rPr>
          <w:rFonts w:eastAsia="Times New Roman" w:cs="Times New Roman"/>
          <w:i/>
          <w:iCs/>
          <w:szCs w:val="24"/>
          <w:lang w:val="en-GB" w:eastAsia="en-GB"/>
        </w:rPr>
        <w:t>(AG)</w:t>
      </w:r>
      <w:r>
        <w:rPr>
          <w:rFonts w:eastAsia="Times New Roman" w:cs="Times New Roman"/>
          <w:szCs w:val="24"/>
          <w:lang w:val="en-GB" w:eastAsia="en-GB"/>
        </w:rPr>
        <w:t>, 2020 FC 489.</w:t>
      </w:r>
    </w:p>
  </w:footnote>
  <w:footnote w:id="6">
    <w:p w14:paraId="1816C0D8" w14:textId="57CD0F1F"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As in </w:t>
      </w:r>
      <w:r w:rsidRPr="007245E0">
        <w:rPr>
          <w:rFonts w:eastAsia="Times New Roman" w:cs="Times New Roman"/>
          <w:i/>
          <w:iCs/>
          <w:szCs w:val="24"/>
          <w:lang w:val="en-GB" w:eastAsia="en-GB"/>
        </w:rPr>
        <w:t xml:space="preserve">British Columbia (Assistant Water Manager) </w:t>
      </w:r>
      <w:r>
        <w:rPr>
          <w:rFonts w:eastAsia="Times New Roman" w:cs="Times New Roman"/>
          <w:i/>
          <w:iCs/>
          <w:szCs w:val="24"/>
          <w:lang w:val="en-GB" w:eastAsia="en-GB"/>
        </w:rPr>
        <w:t>v</w:t>
      </w:r>
      <w:r w:rsidRPr="007245E0">
        <w:rPr>
          <w:rFonts w:eastAsia="Times New Roman" w:cs="Times New Roman"/>
          <w:i/>
          <w:iCs/>
          <w:szCs w:val="24"/>
          <w:lang w:val="en-GB" w:eastAsia="en-GB"/>
        </w:rPr>
        <w:t xml:space="preserve"> Chisholm</w:t>
      </w:r>
      <w:r>
        <w:rPr>
          <w:rFonts w:eastAsia="Times New Roman" w:cs="Times New Roman"/>
          <w:szCs w:val="24"/>
          <w:lang w:val="en-GB" w:eastAsia="en-GB"/>
        </w:rPr>
        <w:t>, 2020 BCSC 545</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29.</w:t>
      </w:r>
    </w:p>
  </w:footnote>
  <w:footnote w:id="7">
    <w:p w14:paraId="3BF0E534"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469.</w:t>
      </w:r>
    </w:p>
  </w:footnote>
  <w:footnote w:id="8">
    <w:p w14:paraId="2395C15A"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ONSC 500.</w:t>
      </w:r>
    </w:p>
  </w:footnote>
  <w:footnote w:id="9">
    <w:p w14:paraId="43275BC8" w14:textId="70C9EE0D"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32.</w:t>
      </w:r>
    </w:p>
  </w:footnote>
  <w:footnote w:id="10">
    <w:p w14:paraId="57F8E970" w14:textId="0DBE681B"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68.</w:t>
      </w:r>
    </w:p>
  </w:footnote>
  <w:footnote w:id="11">
    <w:p w14:paraId="0320491B" w14:textId="5CAC7F31"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at </w:t>
      </w:r>
      <w:r>
        <w:rPr>
          <w:rFonts w:eastAsia="Times New Roman" w:cs="Times New Roman"/>
          <w:szCs w:val="24"/>
          <w:lang w:val="en-GB" w:eastAsia="en-GB"/>
        </w:rPr>
        <w:t>para</w:t>
      </w:r>
      <w:r w:rsidRPr="007245E0">
        <w:rPr>
          <w:rFonts w:eastAsia="Times New Roman" w:cs="Times New Roman"/>
          <w:szCs w:val="24"/>
          <w:lang w:val="en-GB" w:eastAsia="en-GB"/>
        </w:rPr>
        <w:t xml:space="preserve"> 52.</w:t>
      </w:r>
    </w:p>
  </w:footnote>
  <w:footnote w:id="12">
    <w:p w14:paraId="08A13501"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See also</w:t>
      </w:r>
      <w:r w:rsidRPr="007245E0">
        <w:rPr>
          <w:rFonts w:eastAsia="Times New Roman" w:cs="Times New Roman"/>
          <w:i/>
          <w:iCs/>
          <w:szCs w:val="24"/>
          <w:lang w:val="en-GB" w:eastAsia="en-GB"/>
        </w:rPr>
        <w:t xml:space="preserve"> Van de Sype v Saskatchewan Government Insurance</w:t>
      </w:r>
      <w:r w:rsidRPr="007245E0">
        <w:rPr>
          <w:rFonts w:eastAsia="Times New Roman" w:cs="Times New Roman"/>
          <w:szCs w:val="24"/>
          <w:lang w:val="en-GB" w:eastAsia="en-GB"/>
        </w:rPr>
        <w:t>, 2020 SKCA 18, where this problem does not seem to have been identified.</w:t>
      </w:r>
    </w:p>
  </w:footnote>
  <w:footnote w:id="13">
    <w:p w14:paraId="2B7B1094"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2019 ABQB 989.</w:t>
      </w:r>
    </w:p>
  </w:footnote>
  <w:footnote w:id="14">
    <w:p w14:paraId="2B37C47D" w14:textId="60985B28" w:rsidR="001B3AC6" w:rsidRPr="007245E0" w:rsidRDefault="001B3AC6">
      <w:pPr>
        <w:pStyle w:val="FootnoteText"/>
        <w:rPr>
          <w:lang w:val="en-GB"/>
        </w:rPr>
      </w:pPr>
      <w:r w:rsidRPr="007245E0">
        <w:rPr>
          <w:rStyle w:val="FootnoteReference"/>
        </w:rPr>
        <w:footnoteRef/>
      </w:r>
      <w:r w:rsidRPr="007245E0">
        <w:t xml:space="preserve"> </w:t>
      </w:r>
      <w:hyperlink r:id="rId2" w:history="1">
        <w:r w:rsidRPr="007245E0">
          <w:rPr>
            <w:rFonts w:eastAsia="Times New Roman" w:cs="Times New Roman"/>
            <w:szCs w:val="24"/>
            <w:lang w:val="fr-CA" w:eastAsia="en-GB"/>
          </w:rPr>
          <w:t>2020 QCCS 95</w:t>
        </w:r>
      </w:hyperlink>
      <w:r w:rsidRPr="007245E0">
        <w:rPr>
          <w:rFonts w:eastAsia="Times New Roman" w:cs="Times New Roman"/>
          <w:szCs w:val="24"/>
          <w:lang w:val="fr-CA" w:eastAsia="en-GB"/>
        </w:rPr>
        <w:t xml:space="preserve"> at </w:t>
      </w:r>
      <w:r>
        <w:rPr>
          <w:rFonts w:eastAsia="Times New Roman" w:cs="Times New Roman"/>
          <w:szCs w:val="24"/>
          <w:lang w:val="fr-CA" w:eastAsia="en-GB"/>
        </w:rPr>
        <w:t>paras</w:t>
      </w:r>
      <w:r w:rsidRPr="007245E0">
        <w:rPr>
          <w:rFonts w:eastAsia="Times New Roman" w:cs="Times New Roman"/>
          <w:szCs w:val="24"/>
          <w:lang w:val="fr-CA" w:eastAsia="en-GB"/>
        </w:rPr>
        <w:t xml:space="preserve"> </w:t>
      </w:r>
      <w:r w:rsidRPr="007245E0">
        <w:rPr>
          <w:rFonts w:eastAsia="Times New Roman" w:cs="Times New Roman"/>
          <w:szCs w:val="24"/>
          <w:lang w:val="en-GB" w:eastAsia="en-GB"/>
        </w:rPr>
        <w:t>17-19.</w:t>
      </w:r>
    </w:p>
  </w:footnote>
  <w:footnote w:id="15">
    <w:p w14:paraId="1579CBFD" w14:textId="4DE895C4"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similarly </w:t>
      </w:r>
      <w:r>
        <w:rPr>
          <w:rFonts w:eastAsia="Times New Roman" w:cs="Times New Roman"/>
          <w:i/>
          <w:iCs/>
          <w:szCs w:val="24"/>
          <w:lang w:val="en-GB" w:eastAsia="en-GB"/>
        </w:rPr>
        <w:t>Coldwater First Nation v</w:t>
      </w:r>
      <w:r w:rsidRPr="007245E0">
        <w:rPr>
          <w:rFonts w:eastAsia="Times New Roman" w:cs="Times New Roman"/>
          <w:i/>
          <w:iCs/>
          <w:szCs w:val="24"/>
          <w:lang w:val="en-GB" w:eastAsia="en-GB"/>
        </w:rPr>
        <w:t xml:space="preserve"> Canada </w:t>
      </w:r>
      <w:r>
        <w:rPr>
          <w:rFonts w:eastAsia="Times New Roman" w:cs="Times New Roman"/>
          <w:i/>
          <w:iCs/>
          <w:szCs w:val="24"/>
          <w:lang w:val="en-GB" w:eastAsia="en-GB"/>
        </w:rPr>
        <w:t>(AG)</w:t>
      </w:r>
      <w:r>
        <w:rPr>
          <w:rFonts w:eastAsia="Times New Roman" w:cs="Times New Roman"/>
          <w:szCs w:val="24"/>
          <w:lang w:val="en-GB" w:eastAsia="en-GB"/>
        </w:rPr>
        <w:t>, 2020 FCA 34</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27; </w:t>
      </w:r>
      <w:r w:rsidRPr="007245E0">
        <w:rPr>
          <w:rFonts w:eastAsia="Times New Roman" w:cs="Times New Roman"/>
          <w:i/>
          <w:iCs/>
          <w:szCs w:val="24"/>
          <w:lang w:val="en-GB" w:eastAsia="en-GB"/>
        </w:rPr>
        <w:t>Borradaile v British Columbia (Superintendent of Motor Vehicles)</w:t>
      </w:r>
      <w:r>
        <w:rPr>
          <w:rFonts w:eastAsia="Times New Roman" w:cs="Times New Roman"/>
          <w:szCs w:val="24"/>
          <w:lang w:val="en-GB" w:eastAsia="en-GB"/>
        </w:rPr>
        <w:t>, 2020 BCSC 363</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34; </w:t>
      </w:r>
      <w:r w:rsidRPr="007245E0">
        <w:rPr>
          <w:rFonts w:eastAsia="Times New Roman" w:cs="Times New Roman"/>
          <w:i/>
          <w:iCs/>
          <w:szCs w:val="24"/>
          <w:lang w:val="en-GB" w:eastAsia="en-GB"/>
        </w:rPr>
        <w:t>Redmond v British Columbia (Forests, Lands, Natural Resource Operations and Rural Development)</w:t>
      </w:r>
      <w:r>
        <w:rPr>
          <w:rFonts w:eastAsia="Times New Roman" w:cs="Times New Roman"/>
          <w:szCs w:val="24"/>
          <w:lang w:val="en-GB" w:eastAsia="en-GB"/>
        </w:rPr>
        <w:t>, 2020 BCSC 561</w:t>
      </w:r>
      <w:r w:rsidRPr="007245E0">
        <w:rPr>
          <w:rFonts w:eastAsia="Times New Roman" w:cs="Times New Roman"/>
          <w:szCs w:val="24"/>
          <w:lang w:val="en-GB" w:eastAsia="en-GB"/>
        </w:rPr>
        <w:t xml:space="preserve"> at </w:t>
      </w:r>
      <w:r>
        <w:rPr>
          <w:rFonts w:eastAsia="Times New Roman" w:cs="Times New Roman"/>
          <w:szCs w:val="24"/>
          <w:lang w:val="en-GB" w:eastAsia="en-GB"/>
        </w:rPr>
        <w:t>paras</w:t>
      </w:r>
      <w:r w:rsidRPr="007245E0">
        <w:rPr>
          <w:rFonts w:eastAsia="Times New Roman" w:cs="Times New Roman"/>
          <w:szCs w:val="24"/>
          <w:lang w:val="en-GB" w:eastAsia="en-GB"/>
        </w:rPr>
        <w:t xml:space="preserve"> 28-31.</w:t>
      </w:r>
    </w:p>
  </w:footnote>
  <w:footnote w:id="16">
    <w:p w14:paraId="7C935933" w14:textId="6EC65D90" w:rsidR="001B3AC6" w:rsidRPr="007245E0" w:rsidRDefault="001B3AC6" w:rsidP="00C906D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2020 QCCS 294</w:t>
      </w:r>
      <w:r w:rsidRPr="007245E0">
        <w:rPr>
          <w:rFonts w:eastAsia="Times New Roman" w:cs="Times New Roman"/>
          <w:szCs w:val="24"/>
          <w:lang w:val="en-GB" w:eastAsia="en-GB"/>
        </w:rPr>
        <w:t xml:space="preserve"> at </w:t>
      </w:r>
      <w:r>
        <w:rPr>
          <w:rFonts w:eastAsia="Times New Roman" w:cs="Times New Roman"/>
          <w:szCs w:val="24"/>
          <w:lang w:val="en-GB" w:eastAsia="en-GB"/>
        </w:rPr>
        <w:t>paras</w:t>
      </w:r>
      <w:r w:rsidRPr="007245E0">
        <w:rPr>
          <w:rFonts w:eastAsia="Times New Roman" w:cs="Times New Roman"/>
          <w:szCs w:val="24"/>
          <w:lang w:val="en-GB" w:eastAsia="en-GB"/>
        </w:rPr>
        <w:t xml:space="preserve"> 9-11.</w:t>
      </w:r>
    </w:p>
  </w:footnote>
  <w:footnote w:id="17">
    <w:p w14:paraId="3BD1E922" w14:textId="4B00439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w:t>
      </w:r>
      <w:r w:rsidRPr="00F63FAF">
        <w:rPr>
          <w:rFonts w:eastAsia="Times New Roman" w:cs="Times New Roman"/>
          <w:iCs/>
          <w:szCs w:val="24"/>
          <w:lang w:val="en-GB" w:eastAsia="en-GB"/>
        </w:rPr>
        <w:t>e.g.</w:t>
      </w:r>
      <w:r>
        <w:rPr>
          <w:rFonts w:eastAsia="Times New Roman" w:cs="Times New Roman"/>
          <w:i/>
          <w:iCs/>
          <w:szCs w:val="24"/>
          <w:lang w:val="en-GB" w:eastAsia="en-GB"/>
        </w:rPr>
        <w:t xml:space="preserve"> Heffernan v</w:t>
      </w:r>
      <w:r w:rsidRPr="007245E0">
        <w:rPr>
          <w:rFonts w:eastAsia="Times New Roman" w:cs="Times New Roman"/>
          <w:i/>
          <w:iCs/>
          <w:szCs w:val="24"/>
          <w:lang w:val="en-GB" w:eastAsia="en-GB"/>
        </w:rPr>
        <w:t xml:space="preserve"> Saskatchewan Police Commission</w:t>
      </w:r>
      <w:r w:rsidRPr="007245E0">
        <w:rPr>
          <w:rFonts w:eastAsia="Times New Roman" w:cs="Times New Roman"/>
          <w:szCs w:val="24"/>
          <w:lang w:val="en-GB" w:eastAsia="en-GB"/>
        </w:rPr>
        <w:t>, 202</w:t>
      </w:r>
      <w:r>
        <w:rPr>
          <w:rFonts w:eastAsia="Times New Roman" w:cs="Times New Roman"/>
          <w:szCs w:val="24"/>
          <w:lang w:val="en-GB" w:eastAsia="en-GB"/>
        </w:rPr>
        <w:t>0 SKQB 65</w:t>
      </w:r>
      <w:r w:rsidRPr="007245E0">
        <w:rPr>
          <w:rFonts w:eastAsia="Times New Roman" w:cs="Times New Roman"/>
          <w:szCs w:val="24"/>
          <w:lang w:val="en-GB" w:eastAsia="en-GB"/>
        </w:rPr>
        <w:t xml:space="preserve"> at </w:t>
      </w:r>
      <w:r>
        <w:rPr>
          <w:rFonts w:eastAsia="Times New Roman" w:cs="Times New Roman"/>
          <w:szCs w:val="24"/>
          <w:lang w:val="en-GB" w:eastAsia="en-GB"/>
        </w:rPr>
        <w:t>paras</w:t>
      </w:r>
      <w:r w:rsidRPr="007245E0">
        <w:rPr>
          <w:rFonts w:eastAsia="Times New Roman" w:cs="Times New Roman"/>
          <w:szCs w:val="24"/>
          <w:lang w:val="en-GB" w:eastAsia="en-GB"/>
        </w:rPr>
        <w:t xml:space="preserve"> 25-27.</w:t>
      </w:r>
    </w:p>
  </w:footnote>
  <w:footnote w:id="18">
    <w:p w14:paraId="7EE99949" w14:textId="532C32E9"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As in </w:t>
      </w:r>
      <w:r w:rsidRPr="007245E0">
        <w:rPr>
          <w:rFonts w:eastAsia="Times New Roman" w:cs="Times New Roman"/>
          <w:i/>
          <w:iCs/>
          <w:szCs w:val="24"/>
          <w:lang w:val="en-GB" w:eastAsia="en-GB"/>
        </w:rPr>
        <w:t xml:space="preserve">Canada </w:t>
      </w:r>
      <w:r>
        <w:rPr>
          <w:rFonts w:eastAsia="Times New Roman" w:cs="Times New Roman"/>
          <w:i/>
          <w:iCs/>
          <w:szCs w:val="24"/>
          <w:lang w:val="en-GB" w:eastAsia="en-GB"/>
        </w:rPr>
        <w:t>Union of Correctional Officers v</w:t>
      </w:r>
      <w:r w:rsidRPr="007245E0">
        <w:rPr>
          <w:rFonts w:eastAsia="Times New Roman" w:cs="Times New Roman"/>
          <w:i/>
          <w:iCs/>
          <w:szCs w:val="24"/>
          <w:lang w:val="en-GB" w:eastAsia="en-GB"/>
        </w:rPr>
        <w:t xml:space="preserve"> Canada </w:t>
      </w:r>
      <w:r>
        <w:rPr>
          <w:rFonts w:eastAsia="Times New Roman" w:cs="Times New Roman"/>
          <w:i/>
          <w:iCs/>
          <w:szCs w:val="24"/>
          <w:lang w:val="en-GB" w:eastAsia="en-GB"/>
        </w:rPr>
        <w:t>(AG)</w:t>
      </w:r>
      <w:r>
        <w:rPr>
          <w:rFonts w:eastAsia="Times New Roman" w:cs="Times New Roman"/>
          <w:szCs w:val="24"/>
          <w:lang w:val="en-GB" w:eastAsia="en-GB"/>
        </w:rPr>
        <w:t>, 2019 FCA 212</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21.</w:t>
      </w:r>
    </w:p>
  </w:footnote>
  <w:footnote w:id="19">
    <w:p w14:paraId="62AA80DA" w14:textId="7EC5F799"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As in </w:t>
      </w:r>
      <w:r>
        <w:rPr>
          <w:rFonts w:eastAsia="Times New Roman" w:cs="Times New Roman"/>
          <w:i/>
          <w:iCs/>
          <w:szCs w:val="24"/>
          <w:lang w:val="en-GB" w:eastAsia="en-GB"/>
        </w:rPr>
        <w:t>Canada (AG) v</w:t>
      </w:r>
      <w:r w:rsidRPr="007245E0">
        <w:rPr>
          <w:rFonts w:eastAsia="Times New Roman" w:cs="Times New Roman"/>
          <w:i/>
          <w:iCs/>
          <w:szCs w:val="24"/>
          <w:lang w:val="en-GB" w:eastAsia="en-GB"/>
        </w:rPr>
        <w:t xml:space="preserve"> Northern Inter-Tribal Health Authority Inc</w:t>
      </w:r>
      <w:r>
        <w:rPr>
          <w:rFonts w:eastAsia="Times New Roman" w:cs="Times New Roman"/>
          <w:szCs w:val="24"/>
          <w:lang w:val="en-GB" w:eastAsia="en-GB"/>
        </w:rPr>
        <w:t>, 2020 FCA 63</w:t>
      </w:r>
      <w:r w:rsidRPr="007245E0">
        <w:rPr>
          <w:rFonts w:eastAsia="Times New Roman" w:cs="Times New Roman"/>
          <w:szCs w:val="24"/>
          <w:lang w:val="en-GB" w:eastAsia="en-GB"/>
        </w:rPr>
        <w:t xml:space="preserve"> at </w:t>
      </w:r>
      <w:r>
        <w:rPr>
          <w:rFonts w:eastAsia="Times New Roman" w:cs="Times New Roman"/>
          <w:szCs w:val="24"/>
          <w:lang w:val="en-GB" w:eastAsia="en-GB"/>
        </w:rPr>
        <w:t>paras</w:t>
      </w:r>
      <w:r w:rsidRPr="007245E0">
        <w:rPr>
          <w:rFonts w:eastAsia="Times New Roman" w:cs="Times New Roman"/>
          <w:szCs w:val="24"/>
          <w:lang w:val="en-GB" w:eastAsia="en-GB"/>
        </w:rPr>
        <w:t xml:space="preserve"> 12-13.</w:t>
      </w:r>
    </w:p>
  </w:footnote>
  <w:footnote w:id="20">
    <w:p w14:paraId="421E046F" w14:textId="02994AF9" w:rsidR="001B3AC6" w:rsidRPr="009C06E3" w:rsidRDefault="001B3AC6">
      <w:pPr>
        <w:pStyle w:val="FootnoteText"/>
        <w:rPr>
          <w:lang w:val="fr-CA"/>
        </w:rPr>
      </w:pPr>
      <w:r w:rsidRPr="007245E0">
        <w:rPr>
          <w:rStyle w:val="FootnoteReference"/>
        </w:rPr>
        <w:footnoteRef/>
      </w:r>
      <w:r w:rsidRPr="009C06E3">
        <w:rPr>
          <w:lang w:val="fr-CA"/>
        </w:rPr>
        <w:t xml:space="preserve"> </w:t>
      </w:r>
      <w:r>
        <w:rPr>
          <w:i/>
          <w:lang w:val="fr-CA"/>
        </w:rPr>
        <w:t>Doré v</w:t>
      </w:r>
      <w:r w:rsidRPr="009C06E3">
        <w:rPr>
          <w:i/>
          <w:lang w:val="fr-CA"/>
        </w:rPr>
        <w:t xml:space="preserve"> Barreau du Québec</w:t>
      </w:r>
      <w:r>
        <w:rPr>
          <w:lang w:val="fr-CA"/>
        </w:rPr>
        <w:t>, 2012 SCC 12</w:t>
      </w:r>
      <w:r w:rsidRPr="009C06E3">
        <w:rPr>
          <w:lang w:val="fr-CA"/>
        </w:rPr>
        <w:t>, [2012] 1 SCR 395</w:t>
      </w:r>
      <w:r>
        <w:rPr>
          <w:lang w:val="fr-CA"/>
        </w:rPr>
        <w:t>.</w:t>
      </w:r>
    </w:p>
  </w:footnote>
  <w:footnote w:id="21">
    <w:p w14:paraId="149CFCFB" w14:textId="0BB89E00"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 xml:space="preserve">2020 BCSC 561 </w:t>
      </w:r>
      <w:r w:rsidRPr="007245E0">
        <w:rPr>
          <w:rFonts w:eastAsia="Times New Roman" w:cs="Times New Roman"/>
          <w:szCs w:val="24"/>
          <w:lang w:val="en-GB" w:eastAsia="en-GB"/>
        </w:rPr>
        <w:t xml:space="preserve">at </w:t>
      </w:r>
      <w:r>
        <w:rPr>
          <w:rFonts w:eastAsia="Times New Roman" w:cs="Times New Roman"/>
          <w:szCs w:val="24"/>
          <w:lang w:val="en-GB" w:eastAsia="en-GB"/>
        </w:rPr>
        <w:t>para</w:t>
      </w:r>
      <w:r w:rsidRPr="007245E0">
        <w:rPr>
          <w:rFonts w:eastAsia="Times New Roman" w:cs="Times New Roman"/>
          <w:szCs w:val="24"/>
          <w:lang w:val="en-GB" w:eastAsia="en-GB"/>
        </w:rPr>
        <w:t xml:space="preserve"> 30.</w:t>
      </w:r>
    </w:p>
  </w:footnote>
  <w:footnote w:id="22">
    <w:p w14:paraId="65A1D6D0"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FCA 22.</w:t>
      </w:r>
    </w:p>
  </w:footnote>
  <w:footnote w:id="23">
    <w:p w14:paraId="0CBADB28" w14:textId="71A9DC3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At </w:t>
      </w:r>
      <w:r>
        <w:rPr>
          <w:rFonts w:eastAsia="Times New Roman" w:cs="Times New Roman"/>
          <w:szCs w:val="24"/>
          <w:lang w:val="en-GB" w:eastAsia="en-GB"/>
        </w:rPr>
        <w:t>para</w:t>
      </w:r>
      <w:r w:rsidRPr="007245E0">
        <w:rPr>
          <w:rFonts w:eastAsia="Times New Roman" w:cs="Times New Roman"/>
          <w:szCs w:val="24"/>
          <w:lang w:val="en-GB" w:eastAsia="en-GB"/>
        </w:rPr>
        <w:t xml:space="preserve"> 28. See similarly </w:t>
      </w:r>
      <w:r w:rsidRPr="007245E0">
        <w:rPr>
          <w:rFonts w:eastAsia="Times New Roman" w:cs="Times New Roman"/>
          <w:i/>
          <w:iCs/>
          <w:szCs w:val="24"/>
          <w:lang w:val="en-GB" w:eastAsia="en-GB"/>
        </w:rPr>
        <w:t>Beach Place Ventures Ltd v British Columbia (Employment Standards Tribunal)</w:t>
      </w:r>
      <w:r>
        <w:rPr>
          <w:rFonts w:eastAsia="Times New Roman" w:cs="Times New Roman"/>
          <w:szCs w:val="24"/>
          <w:lang w:val="en-GB" w:eastAsia="en-GB"/>
        </w:rPr>
        <w:t>, 2020 BCSC 327</w:t>
      </w:r>
      <w:r w:rsidRPr="007245E0">
        <w:rPr>
          <w:rFonts w:eastAsia="Times New Roman" w:cs="Times New Roman"/>
          <w:szCs w:val="24"/>
          <w:lang w:val="en-GB" w:eastAsia="en-GB"/>
        </w:rPr>
        <w:t xml:space="preserve"> at </w:t>
      </w:r>
      <w:r>
        <w:rPr>
          <w:rFonts w:eastAsia="Times New Roman" w:cs="Times New Roman"/>
          <w:szCs w:val="24"/>
          <w:lang w:val="en-GB" w:eastAsia="en-GB"/>
        </w:rPr>
        <w:t>paras</w:t>
      </w:r>
      <w:r w:rsidRPr="007245E0">
        <w:rPr>
          <w:rFonts w:eastAsia="Times New Roman" w:cs="Times New Roman"/>
          <w:szCs w:val="24"/>
          <w:lang w:val="en-GB" w:eastAsia="en-GB"/>
        </w:rPr>
        <w:t xml:space="preserve"> 32-34.</w:t>
      </w:r>
    </w:p>
  </w:footnote>
  <w:footnote w:id="24">
    <w:p w14:paraId="77764F17" w14:textId="1C7224DE" w:rsidR="001B3AC6" w:rsidRPr="007245E0" w:rsidRDefault="001B3AC6" w:rsidP="00C906D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2020 ONSC 1047</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10.</w:t>
      </w:r>
    </w:p>
  </w:footnote>
  <w:footnote w:id="25">
    <w:p w14:paraId="10C52317"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NSSC 113.</w:t>
      </w:r>
    </w:p>
  </w:footnote>
  <w:footnote w:id="26">
    <w:p w14:paraId="75DFD509" w14:textId="61FD07ED"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At </w:t>
      </w:r>
      <w:r>
        <w:rPr>
          <w:rFonts w:eastAsia="Times New Roman" w:cs="Times New Roman"/>
          <w:szCs w:val="24"/>
          <w:lang w:val="en-GB" w:eastAsia="en-GB"/>
        </w:rPr>
        <w:t>paras</w:t>
      </w:r>
      <w:r w:rsidRPr="007245E0">
        <w:rPr>
          <w:rFonts w:eastAsia="Times New Roman" w:cs="Times New Roman"/>
          <w:szCs w:val="24"/>
          <w:lang w:val="en-GB" w:eastAsia="en-GB"/>
        </w:rPr>
        <w:t xml:space="preserve"> 46-51.</w:t>
      </w:r>
    </w:p>
  </w:footnote>
  <w:footnote w:id="27">
    <w:p w14:paraId="26FCB681" w14:textId="4326008A" w:rsidR="001B3AC6" w:rsidRPr="007245E0" w:rsidRDefault="001B3AC6" w:rsidP="00896A63">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2020 QCCS 571</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14.</w:t>
      </w:r>
    </w:p>
  </w:footnote>
  <w:footnote w:id="28">
    <w:p w14:paraId="47F22CA2" w14:textId="43007BD2"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i/>
          <w:iCs/>
          <w:szCs w:val="24"/>
          <w:lang w:val="en-GB" w:eastAsia="en-GB"/>
        </w:rPr>
        <w:t>1120732 BC Ltd v</w:t>
      </w:r>
      <w:r w:rsidRPr="007245E0">
        <w:rPr>
          <w:rFonts w:eastAsia="Times New Roman" w:cs="Times New Roman"/>
          <w:i/>
          <w:iCs/>
          <w:szCs w:val="24"/>
          <w:lang w:val="en-GB" w:eastAsia="en-GB"/>
        </w:rPr>
        <w:t xml:space="preserve"> Whistler (Resort Municipality)</w:t>
      </w:r>
      <w:r>
        <w:rPr>
          <w:rFonts w:eastAsia="Times New Roman" w:cs="Times New Roman"/>
          <w:szCs w:val="24"/>
          <w:lang w:val="en-GB" w:eastAsia="en-GB"/>
        </w:rPr>
        <w:t>, 2020 BCCA 101</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39; </w:t>
      </w:r>
      <w:r w:rsidRPr="007245E0">
        <w:rPr>
          <w:rFonts w:eastAsia="Times New Roman" w:cs="Times New Roman"/>
          <w:i/>
          <w:szCs w:val="24"/>
          <w:lang w:val="en-GB" w:eastAsia="en-GB"/>
        </w:rPr>
        <w:t>GSR Capital Group Inc v The City of White Rock</w:t>
      </w:r>
      <w:r>
        <w:rPr>
          <w:rFonts w:eastAsia="Times New Roman" w:cs="Times New Roman"/>
          <w:szCs w:val="24"/>
          <w:lang w:val="en-GB" w:eastAsia="en-GB"/>
        </w:rPr>
        <w:t xml:space="preserve">, 2020 BCSC 489 </w:t>
      </w:r>
      <w:r w:rsidRPr="007245E0">
        <w:rPr>
          <w:rFonts w:eastAsia="Times New Roman" w:cs="Times New Roman"/>
          <w:szCs w:val="24"/>
          <w:lang w:val="en-GB" w:eastAsia="en-GB"/>
        </w:rPr>
        <w:t xml:space="preserve">at </w:t>
      </w:r>
      <w:r>
        <w:rPr>
          <w:rFonts w:eastAsia="Times New Roman" w:cs="Times New Roman"/>
          <w:szCs w:val="24"/>
          <w:lang w:val="en-GB" w:eastAsia="en-GB"/>
        </w:rPr>
        <w:t>para</w:t>
      </w:r>
      <w:r w:rsidRPr="007245E0">
        <w:rPr>
          <w:rFonts w:eastAsia="Times New Roman" w:cs="Times New Roman"/>
          <w:szCs w:val="24"/>
          <w:lang w:val="en-GB" w:eastAsia="en-GB"/>
        </w:rPr>
        <w:t xml:space="preserve"> 71.</w:t>
      </w:r>
    </w:p>
  </w:footnote>
  <w:footnote w:id="29">
    <w:p w14:paraId="30A71E6A" w14:textId="75A34820" w:rsidR="001B3AC6" w:rsidRPr="007245E0" w:rsidRDefault="001B3AC6">
      <w:pPr>
        <w:pStyle w:val="FootnoteText"/>
        <w:rPr>
          <w:rFonts w:eastAsia="Times New Roman" w:cs="Times New Roman"/>
          <w:szCs w:val="24"/>
          <w:lang w:val="en-GB" w:eastAsia="en-GB"/>
        </w:rPr>
      </w:pPr>
      <w:r w:rsidRPr="007245E0">
        <w:rPr>
          <w:rStyle w:val="FootnoteReference"/>
        </w:rPr>
        <w:footnoteRef/>
      </w:r>
      <w:r w:rsidRPr="007245E0">
        <w:t xml:space="preserve"> </w:t>
      </w:r>
      <w:r>
        <w:rPr>
          <w:rFonts w:eastAsia="Times New Roman" w:cs="Times New Roman"/>
          <w:szCs w:val="24"/>
          <w:lang w:val="en-GB" w:eastAsia="en-GB"/>
        </w:rPr>
        <w:t>2020 ABQB 137</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40</w:t>
      </w:r>
      <w:r w:rsidR="008531FD">
        <w:rPr>
          <w:rFonts w:eastAsia="Times New Roman" w:cs="Times New Roman"/>
          <w:szCs w:val="24"/>
          <w:lang w:val="en-GB" w:eastAsia="en-GB"/>
        </w:rPr>
        <w:t xml:space="preserve"> (emphasis in original)</w:t>
      </w:r>
      <w:r w:rsidRPr="007245E0">
        <w:rPr>
          <w:rFonts w:eastAsia="Times New Roman" w:cs="Times New Roman"/>
          <w:szCs w:val="24"/>
          <w:lang w:val="en-GB" w:eastAsia="en-GB"/>
        </w:rPr>
        <w:t xml:space="preserve">. </w:t>
      </w:r>
      <w:r w:rsidRPr="00D12B53">
        <w:rPr>
          <w:rFonts w:eastAsia="Times New Roman" w:cs="Times New Roman"/>
          <w:iCs/>
          <w:szCs w:val="24"/>
          <w:lang w:val="en-GB" w:eastAsia="en-GB"/>
        </w:rPr>
        <w:t>See similarly</w:t>
      </w:r>
      <w:r>
        <w:rPr>
          <w:rFonts w:eastAsia="Times New Roman" w:cs="Times New Roman"/>
          <w:i/>
          <w:iCs/>
          <w:szCs w:val="24"/>
          <w:lang w:val="en-GB" w:eastAsia="en-GB"/>
        </w:rPr>
        <w:t xml:space="preserve"> Portnov v</w:t>
      </w:r>
      <w:r w:rsidRPr="007245E0">
        <w:rPr>
          <w:rFonts w:eastAsia="Times New Roman" w:cs="Times New Roman"/>
          <w:i/>
          <w:iCs/>
          <w:szCs w:val="24"/>
          <w:lang w:val="en-GB" w:eastAsia="en-GB"/>
        </w:rPr>
        <w:t xml:space="preserve"> Canada </w:t>
      </w:r>
      <w:r>
        <w:rPr>
          <w:rFonts w:eastAsia="Times New Roman" w:cs="Times New Roman"/>
          <w:i/>
          <w:iCs/>
          <w:szCs w:val="24"/>
          <w:lang w:val="en-GB" w:eastAsia="en-GB"/>
        </w:rPr>
        <w:t>(AG)</w:t>
      </w:r>
      <w:r>
        <w:rPr>
          <w:rFonts w:eastAsia="Times New Roman" w:cs="Times New Roman"/>
          <w:iCs/>
          <w:szCs w:val="24"/>
          <w:lang w:val="en-GB" w:eastAsia="en-GB"/>
        </w:rPr>
        <w:t xml:space="preserve">, 2019 FC 1648 </w:t>
      </w:r>
      <w:r w:rsidRPr="007245E0">
        <w:rPr>
          <w:rFonts w:eastAsia="Times New Roman" w:cs="Times New Roman"/>
          <w:iCs/>
          <w:szCs w:val="24"/>
          <w:lang w:val="en-GB" w:eastAsia="en-GB"/>
        </w:rPr>
        <w:t xml:space="preserve">at </w:t>
      </w:r>
      <w:r>
        <w:rPr>
          <w:rFonts w:eastAsia="Times New Roman" w:cs="Times New Roman"/>
          <w:iCs/>
          <w:szCs w:val="24"/>
          <w:lang w:val="en-GB" w:eastAsia="en-GB"/>
        </w:rPr>
        <w:t>para</w:t>
      </w:r>
      <w:r w:rsidRPr="007245E0">
        <w:rPr>
          <w:rFonts w:eastAsia="Times New Roman" w:cs="Times New Roman"/>
          <w:iCs/>
          <w:szCs w:val="24"/>
          <w:lang w:val="en-GB" w:eastAsia="en-GB"/>
        </w:rPr>
        <w:t xml:space="preserve"> 23.</w:t>
      </w:r>
    </w:p>
  </w:footnote>
  <w:footnote w:id="30">
    <w:p w14:paraId="1646A100" w14:textId="1412EA77"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45.</w:t>
      </w:r>
    </w:p>
  </w:footnote>
  <w:footnote w:id="31">
    <w:p w14:paraId="2E9B4455" w14:textId="34B98E01"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57.</w:t>
      </w:r>
    </w:p>
  </w:footnote>
  <w:footnote w:id="32">
    <w:p w14:paraId="159947B9" w14:textId="3277220F" w:rsidR="001B3AC6" w:rsidRPr="0009454C" w:rsidRDefault="001B3AC6" w:rsidP="0009454C">
      <w:pPr>
        <w:spacing w:line="240" w:lineRule="auto"/>
        <w:rPr>
          <w:rFonts w:eastAsia="Times New Roman"/>
          <w:sz w:val="20"/>
          <w:szCs w:val="20"/>
          <w:lang w:val="en-US"/>
        </w:rPr>
      </w:pPr>
      <w:r w:rsidRPr="0009454C">
        <w:rPr>
          <w:rStyle w:val="FootnoteReference"/>
          <w:sz w:val="20"/>
          <w:szCs w:val="20"/>
        </w:rPr>
        <w:footnoteRef/>
      </w:r>
      <w:bookmarkStart w:id="0" w:name="_Hlk39683814"/>
      <w:r w:rsidRPr="0009454C">
        <w:rPr>
          <w:sz w:val="20"/>
          <w:szCs w:val="20"/>
        </w:rPr>
        <w:t xml:space="preserve"> Paul Daly, “Is Deference Constitutional (in Canada)?” (12 October 2017), online</w:t>
      </w:r>
      <w:r>
        <w:rPr>
          <w:sz w:val="20"/>
          <w:szCs w:val="20"/>
        </w:rPr>
        <w:t xml:space="preserve"> (blog)</w:t>
      </w:r>
      <w:r w:rsidRPr="0009454C">
        <w:rPr>
          <w:sz w:val="20"/>
          <w:szCs w:val="20"/>
        </w:rPr>
        <w:t>:</w:t>
      </w:r>
      <w:r>
        <w:rPr>
          <w:sz w:val="20"/>
          <w:szCs w:val="20"/>
        </w:rPr>
        <w:t xml:space="preserve"> </w:t>
      </w:r>
      <w:r w:rsidRPr="0009454C">
        <w:rPr>
          <w:i/>
          <w:sz w:val="20"/>
          <w:szCs w:val="20"/>
        </w:rPr>
        <w:t>Administrative Law Matters</w:t>
      </w:r>
      <w:r w:rsidRPr="0009454C">
        <w:rPr>
          <w:color w:val="000000" w:themeColor="text1"/>
          <w:sz w:val="20"/>
          <w:szCs w:val="20"/>
        </w:rPr>
        <w:t xml:space="preserve"> &lt;</w:t>
      </w:r>
      <w:hyperlink r:id="rId3" w:history="1">
        <w:r w:rsidRPr="0009454C">
          <w:rPr>
            <w:rStyle w:val="Hyperlink"/>
            <w:color w:val="000000" w:themeColor="text1"/>
            <w:sz w:val="20"/>
            <w:szCs w:val="20"/>
          </w:rPr>
          <w:t>https://www.administrativelawmatters.com/blog/2017/10/12/is-deference-constitutional-in-canada/</w:t>
        </w:r>
      </w:hyperlink>
      <w:r w:rsidRPr="0009454C">
        <w:rPr>
          <w:rFonts w:eastAsia="Times New Roman"/>
          <w:color w:val="000000" w:themeColor="text1"/>
          <w:sz w:val="20"/>
          <w:szCs w:val="20"/>
        </w:rPr>
        <w:t>&gt;</w:t>
      </w:r>
      <w:bookmarkEnd w:id="0"/>
    </w:p>
  </w:footnote>
  <w:footnote w:id="33">
    <w:p w14:paraId="34614BB1" w14:textId="1C97CA75" w:rsidR="001B3AC6" w:rsidRPr="007245E0" w:rsidRDefault="001B3AC6">
      <w:pPr>
        <w:pStyle w:val="FootnoteText"/>
        <w:rPr>
          <w:lang w:val="en-GB"/>
        </w:rPr>
      </w:pPr>
      <w:r w:rsidRPr="007245E0">
        <w:rPr>
          <w:rStyle w:val="FootnoteReference"/>
        </w:rPr>
        <w:footnoteRef/>
      </w:r>
      <w:r w:rsidRPr="007245E0">
        <w:t xml:space="preserve"> </w:t>
      </w:r>
      <w:r w:rsidRPr="009C06E3">
        <w:rPr>
          <w:rFonts w:eastAsia="Times New Roman" w:cs="Times New Roman"/>
          <w:i/>
          <w:szCs w:val="24"/>
          <w:lang w:val="en-GB" w:eastAsia="en-GB"/>
        </w:rPr>
        <w:t>Per</w:t>
      </w:r>
      <w:r w:rsidRPr="007245E0">
        <w:rPr>
          <w:rFonts w:eastAsia="Times New Roman" w:cs="Times New Roman"/>
          <w:szCs w:val="24"/>
          <w:lang w:val="en-GB" w:eastAsia="en-GB"/>
        </w:rPr>
        <w:t xml:space="preserve"> </w:t>
      </w:r>
      <w:r>
        <w:rPr>
          <w:rFonts w:eastAsia="Times New Roman" w:cs="Times New Roman"/>
          <w:i/>
          <w:iCs/>
          <w:szCs w:val="24"/>
          <w:lang w:val="en-GB" w:eastAsia="en-GB"/>
        </w:rPr>
        <w:t>Sattva Capital Corp v</w:t>
      </w:r>
      <w:r w:rsidRPr="007245E0">
        <w:rPr>
          <w:rFonts w:eastAsia="Times New Roman" w:cs="Times New Roman"/>
          <w:i/>
          <w:iCs/>
          <w:szCs w:val="24"/>
          <w:lang w:val="en-GB" w:eastAsia="en-GB"/>
        </w:rPr>
        <w:t xml:space="preserve"> Creston Moly Corp</w:t>
      </w:r>
      <w:r w:rsidRPr="007245E0">
        <w:rPr>
          <w:rFonts w:eastAsia="Times New Roman" w:cs="Times New Roman"/>
          <w:szCs w:val="24"/>
          <w:lang w:val="en-GB" w:eastAsia="en-GB"/>
        </w:rPr>
        <w:t>, 2014 SCC 53, [2014] 2 SCR 633.</w:t>
      </w:r>
    </w:p>
  </w:footnote>
  <w:footnote w:id="34">
    <w:p w14:paraId="13A183B8" w14:textId="063EAAB9" w:rsidR="001B3AC6" w:rsidRPr="007245E0" w:rsidRDefault="001B3AC6" w:rsidP="00896A63">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2020 MBQB 20</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56.</w:t>
      </w:r>
    </w:p>
  </w:footnote>
  <w:footnote w:id="35">
    <w:p w14:paraId="3646E916" w14:textId="2D2821DF" w:rsidR="001B3AC6" w:rsidRPr="007245E0" w:rsidRDefault="001B3AC6" w:rsidP="00896A63">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2020 ONSC 830</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19.</w:t>
      </w:r>
    </w:p>
  </w:footnote>
  <w:footnote w:id="36">
    <w:p w14:paraId="5968B028" w14:textId="77A8375C"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2020 ABQB 106</w:t>
      </w:r>
      <w:r w:rsidRPr="007245E0">
        <w:rPr>
          <w:rFonts w:eastAsia="Times New Roman" w:cs="Times New Roman"/>
          <w:szCs w:val="24"/>
          <w:lang w:val="en-GB" w:eastAsia="en-GB"/>
        </w:rPr>
        <w:t xml:space="preserve"> at </w:t>
      </w:r>
      <w:r>
        <w:rPr>
          <w:rFonts w:eastAsia="Times New Roman" w:cs="Times New Roman"/>
          <w:szCs w:val="24"/>
          <w:lang w:val="en-GB" w:eastAsia="en-GB"/>
        </w:rPr>
        <w:t>para</w:t>
      </w:r>
      <w:r w:rsidRPr="007245E0">
        <w:rPr>
          <w:rFonts w:eastAsia="Times New Roman" w:cs="Times New Roman"/>
          <w:szCs w:val="24"/>
          <w:lang w:val="en-GB" w:eastAsia="en-GB"/>
        </w:rPr>
        <w:t xml:space="preserve"> 13.</w:t>
      </w:r>
    </w:p>
  </w:footnote>
  <w:footnote w:id="37">
    <w:p w14:paraId="203ACD18" w14:textId="16B24A7F"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ONSC 1516</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61-75.</w:t>
      </w:r>
    </w:p>
  </w:footnote>
  <w:footnote w:id="38">
    <w:p w14:paraId="0ADACE0A" w14:textId="50E0B836" w:rsidR="001B3AC6" w:rsidRPr="007245E0" w:rsidRDefault="001B3AC6">
      <w:pPr>
        <w:pStyle w:val="FootnoteText"/>
        <w:rPr>
          <w:lang w:val="en-GB"/>
        </w:rPr>
      </w:pPr>
      <w:r w:rsidRPr="007245E0">
        <w:rPr>
          <w:rStyle w:val="FootnoteReference"/>
        </w:rPr>
        <w:footnoteRef/>
      </w:r>
      <w:r w:rsidRPr="007245E0">
        <w:t xml:space="preserve"> </w:t>
      </w:r>
      <w:proofErr w:type="gramStart"/>
      <w:r w:rsidRPr="007245E0">
        <w:t>SO</w:t>
      </w:r>
      <w:proofErr w:type="gramEnd"/>
      <w:r w:rsidRPr="007245E0">
        <w:t xml:space="preserve"> 1991, c 17, </w:t>
      </w:r>
      <w:r w:rsidRPr="007245E0">
        <w:rPr>
          <w:rFonts w:eastAsia="Times New Roman" w:cs="Times New Roman"/>
          <w:szCs w:val="24"/>
          <w:lang w:val="en-GB" w:eastAsia="en-GB"/>
        </w:rPr>
        <w:t>s</w:t>
      </w:r>
      <w:r>
        <w:rPr>
          <w:rFonts w:eastAsia="Times New Roman" w:cs="Times New Roman"/>
          <w:szCs w:val="24"/>
          <w:lang w:val="en-GB" w:eastAsia="en-GB"/>
        </w:rPr>
        <w:t>s</w:t>
      </w:r>
      <w:r w:rsidRPr="007245E0">
        <w:rPr>
          <w:rFonts w:eastAsia="Times New Roman" w:cs="Times New Roman"/>
          <w:szCs w:val="24"/>
          <w:lang w:val="en-GB" w:eastAsia="en-GB"/>
        </w:rPr>
        <w:t xml:space="preserve"> 45(1) and (2).</w:t>
      </w:r>
    </w:p>
  </w:footnote>
  <w:footnote w:id="39">
    <w:p w14:paraId="071F1194" w14:textId="5807D3CC" w:rsidR="001B3AC6" w:rsidRPr="007245E0" w:rsidRDefault="001B3AC6">
      <w:pPr>
        <w:pStyle w:val="FootnoteText"/>
        <w:rPr>
          <w:lang w:val="en-GB"/>
        </w:rPr>
      </w:pPr>
      <w:r w:rsidRPr="007245E0">
        <w:rPr>
          <w:rStyle w:val="FootnoteReference"/>
        </w:rPr>
        <w:footnoteRef/>
      </w:r>
      <w:r w:rsidRPr="007245E0">
        <w:t xml:space="preserve"> </w:t>
      </w:r>
      <w:proofErr w:type="gramStart"/>
      <w:r w:rsidRPr="007245E0">
        <w:t>SO</w:t>
      </w:r>
      <w:proofErr w:type="gramEnd"/>
      <w:r w:rsidRPr="007245E0">
        <w:t xml:space="preserve"> 1991, c 17, </w:t>
      </w:r>
      <w:r w:rsidRPr="007245E0">
        <w:rPr>
          <w:rFonts w:eastAsia="Times New Roman" w:cs="Times New Roman"/>
          <w:szCs w:val="24"/>
          <w:lang w:val="en-GB" w:eastAsia="en-GB"/>
        </w:rPr>
        <w:t>s 45(3).</w:t>
      </w:r>
    </w:p>
  </w:footnote>
  <w:footnote w:id="40">
    <w:p w14:paraId="4DF21A3B" w14:textId="7249CEDD"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i/>
          <w:iCs/>
          <w:szCs w:val="24"/>
          <w:lang w:val="en-GB" w:eastAsia="en-GB"/>
        </w:rPr>
        <w:t>Planet Energy (Ontario) Corp</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Ontario Energy Board</w:t>
      </w:r>
      <w:r w:rsidRPr="007245E0">
        <w:rPr>
          <w:rFonts w:eastAsia="Times New Roman" w:cs="Times New Roman"/>
          <w:iCs/>
          <w:szCs w:val="24"/>
          <w:lang w:val="en-GB" w:eastAsia="en-GB"/>
        </w:rPr>
        <w:t>, 2020 ONSC 598</w:t>
      </w:r>
      <w:r>
        <w:rPr>
          <w:rFonts w:eastAsia="Times New Roman" w:cs="Times New Roman"/>
          <w:iCs/>
          <w:szCs w:val="24"/>
          <w:lang w:val="en-GB" w:eastAsia="en-GB"/>
        </w:rPr>
        <w:t xml:space="preserve"> at para</w:t>
      </w:r>
      <w:r w:rsidRPr="007245E0">
        <w:rPr>
          <w:rFonts w:eastAsia="Times New Roman" w:cs="Times New Roman"/>
          <w:iCs/>
          <w:szCs w:val="24"/>
          <w:lang w:val="en-GB" w:eastAsia="en-GB"/>
        </w:rPr>
        <w:t xml:space="preserve"> 31. See</w:t>
      </w:r>
      <w:r w:rsidRPr="007245E0">
        <w:rPr>
          <w:rFonts w:eastAsia="Times New Roman" w:cs="Times New Roman"/>
          <w:i/>
          <w:iCs/>
          <w:szCs w:val="24"/>
          <w:lang w:val="en-GB" w:eastAsia="en-GB"/>
        </w:rPr>
        <w:t xml:space="preserve"> </w:t>
      </w:r>
      <w:r w:rsidRPr="00945298">
        <w:rPr>
          <w:rFonts w:eastAsia="Times New Roman" w:cs="Times New Roman"/>
          <w:iCs/>
          <w:szCs w:val="24"/>
          <w:lang w:val="en-GB" w:eastAsia="en-GB"/>
        </w:rPr>
        <w:t xml:space="preserve">also </w:t>
      </w:r>
      <w:r w:rsidRPr="007245E0">
        <w:rPr>
          <w:rFonts w:eastAsia="Times New Roman" w:cs="Times New Roman"/>
          <w:i/>
          <w:iCs/>
          <w:szCs w:val="24"/>
          <w:lang w:val="en-GB" w:eastAsia="en-GB"/>
        </w:rPr>
        <w:t>Edmonton (City of) v Ten 201 Jasper Avenue Ltd</w:t>
      </w:r>
      <w:r w:rsidRPr="007245E0">
        <w:rPr>
          <w:rFonts w:eastAsia="Times New Roman" w:cs="Times New Roman"/>
          <w:iCs/>
          <w:szCs w:val="24"/>
          <w:lang w:val="en-GB" w:eastAsia="en-GB"/>
        </w:rPr>
        <w:t>, 2020 ABCA 60.</w:t>
      </w:r>
    </w:p>
  </w:footnote>
  <w:footnote w:id="41">
    <w:p w14:paraId="5BE51D80"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ONSC 1124.</w:t>
      </w:r>
    </w:p>
  </w:footnote>
  <w:footnote w:id="42">
    <w:p w14:paraId="7FA9B00E" w14:textId="440FBC45"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S</w:t>
      </w:r>
      <w:r w:rsidRPr="007245E0">
        <w:rPr>
          <w:rFonts w:eastAsia="Times New Roman" w:cs="Times New Roman"/>
          <w:szCs w:val="24"/>
          <w:lang w:val="en-GB" w:eastAsia="en-GB"/>
        </w:rPr>
        <w:t xml:space="preserve">ee </w:t>
      </w:r>
      <w:r w:rsidRPr="00945298">
        <w:rPr>
          <w:rFonts w:eastAsia="Times New Roman" w:cs="Times New Roman"/>
          <w:iCs/>
          <w:szCs w:val="24"/>
          <w:lang w:val="en-GB" w:eastAsia="en-GB"/>
        </w:rPr>
        <w:t>e.g.</w:t>
      </w:r>
      <w:r w:rsidRPr="007245E0">
        <w:rPr>
          <w:rFonts w:eastAsia="Times New Roman" w:cs="Times New Roman"/>
          <w:i/>
          <w:iCs/>
          <w:szCs w:val="24"/>
          <w:lang w:val="en-GB" w:eastAsia="en-GB"/>
        </w:rPr>
        <w:t xml:space="preserve"> 1085372 Ontario Limited</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City of Toronto</w:t>
      </w:r>
      <w:r w:rsidRPr="007245E0">
        <w:rPr>
          <w:rFonts w:eastAsia="Times New Roman" w:cs="Times New Roman"/>
          <w:szCs w:val="24"/>
          <w:lang w:val="en-GB" w:eastAsia="en-GB"/>
        </w:rPr>
        <w:t xml:space="preserve">, 2020 ONSC 1136; </w:t>
      </w:r>
      <w:r>
        <w:rPr>
          <w:rFonts w:eastAsia="Times New Roman" w:cs="Times New Roman"/>
          <w:i/>
          <w:iCs/>
          <w:szCs w:val="24"/>
          <w:lang w:val="en-GB" w:eastAsia="en-GB"/>
        </w:rPr>
        <w:t>Donaldson c</w:t>
      </w:r>
      <w:r w:rsidRPr="007245E0">
        <w:rPr>
          <w:rFonts w:eastAsia="Times New Roman" w:cs="Times New Roman"/>
          <w:i/>
          <w:iCs/>
          <w:szCs w:val="24"/>
          <w:lang w:val="en-GB" w:eastAsia="en-GB"/>
        </w:rPr>
        <w:t xml:space="preserve"> Autorité des marchés financiers</w:t>
      </w:r>
      <w:r w:rsidRPr="007245E0">
        <w:rPr>
          <w:rFonts w:eastAsia="Times New Roman" w:cs="Times New Roman"/>
          <w:szCs w:val="24"/>
          <w:lang w:val="en-GB" w:eastAsia="en-GB"/>
        </w:rPr>
        <w:t>, 2020 QCCA 401.</w:t>
      </w:r>
    </w:p>
  </w:footnote>
  <w:footnote w:id="43">
    <w:p w14:paraId="2BD41341" w14:textId="3E29737C" w:rsidR="001B3AC6" w:rsidRPr="007245E0" w:rsidRDefault="001B3AC6" w:rsidP="00896A63">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ABCA 148</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32.</w:t>
      </w:r>
    </w:p>
  </w:footnote>
  <w:footnote w:id="44">
    <w:p w14:paraId="01F37C5C" w14:textId="55F87048" w:rsidR="001B3AC6" w:rsidRPr="007245E0" w:rsidRDefault="001B3AC6" w:rsidP="00896A63">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ABCA 98</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30.</w:t>
      </w:r>
    </w:p>
  </w:footnote>
  <w:footnote w:id="45">
    <w:p w14:paraId="74F67D6E" w14:textId="0BD66634" w:rsidR="001B3AC6" w:rsidRPr="007245E0" w:rsidRDefault="001B3AC6">
      <w:pPr>
        <w:pStyle w:val="FootnoteText"/>
        <w:rPr>
          <w:lang w:val="en-GB"/>
        </w:rPr>
      </w:pPr>
      <w:r w:rsidRPr="007245E0">
        <w:rPr>
          <w:rStyle w:val="FootnoteReference"/>
        </w:rPr>
        <w:footnoteRef/>
      </w:r>
      <w:r w:rsidRPr="007245E0">
        <w:t xml:space="preserve"> </w:t>
      </w:r>
      <w:r w:rsidRPr="00945298">
        <w:rPr>
          <w:rFonts w:eastAsia="Times New Roman" w:cs="Times New Roman"/>
          <w:szCs w:val="24"/>
          <w:lang w:val="en-GB" w:eastAsia="en-GB"/>
        </w:rPr>
        <w:t xml:space="preserve">See </w:t>
      </w:r>
      <w:r w:rsidRPr="00945298">
        <w:rPr>
          <w:rFonts w:eastAsia="Times New Roman" w:cs="Times New Roman"/>
          <w:iCs/>
          <w:szCs w:val="24"/>
          <w:lang w:val="en-GB" w:eastAsia="en-GB"/>
        </w:rPr>
        <w:t>e.g.</w:t>
      </w:r>
      <w:r w:rsidRPr="007245E0">
        <w:rPr>
          <w:rFonts w:eastAsia="Times New Roman" w:cs="Times New Roman"/>
          <w:i/>
          <w:iCs/>
          <w:szCs w:val="24"/>
          <w:lang w:val="en-GB" w:eastAsia="en-GB"/>
        </w:rPr>
        <w:t xml:space="preserve"> Ahmadzai (Re)</w:t>
      </w:r>
      <w:r w:rsidRPr="007245E0">
        <w:rPr>
          <w:rFonts w:eastAsia="Times New Roman" w:cs="Times New Roman"/>
          <w:szCs w:val="24"/>
          <w:lang w:val="en-GB" w:eastAsia="en-GB"/>
        </w:rPr>
        <w:t>, 2020 ONCA 169</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12; </w:t>
      </w:r>
      <w:r w:rsidRPr="007245E0">
        <w:rPr>
          <w:rFonts w:eastAsia="Times New Roman" w:cs="Times New Roman"/>
          <w:i/>
          <w:iCs/>
          <w:szCs w:val="24"/>
          <w:lang w:val="en-GB" w:eastAsia="en-GB"/>
        </w:rPr>
        <w:t>Nguyen (Re)</w:t>
      </w:r>
      <w:r w:rsidRPr="007245E0">
        <w:rPr>
          <w:rFonts w:eastAsia="Times New Roman" w:cs="Times New Roman"/>
          <w:szCs w:val="24"/>
          <w:lang w:val="en-GB" w:eastAsia="en-GB"/>
        </w:rPr>
        <w:t>, 2020 ONCA 247</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28 (appeals from a Criminal Code Review Board to the Court of Appeal).</w:t>
      </w:r>
    </w:p>
  </w:footnote>
  <w:footnote w:id="46">
    <w:p w14:paraId="2F36E504" w14:textId="299472F4" w:rsidR="001B3AC6" w:rsidRPr="007245E0" w:rsidRDefault="001B3AC6">
      <w:pPr>
        <w:pStyle w:val="FootnoteText"/>
        <w:rPr>
          <w:lang w:val="en-GB"/>
        </w:rPr>
      </w:pPr>
      <w:r w:rsidRPr="007245E0">
        <w:rPr>
          <w:rStyle w:val="FootnoteReference"/>
        </w:rPr>
        <w:footnoteRef/>
      </w:r>
      <w:r w:rsidRPr="007245E0">
        <w:t xml:space="preserve"> </w:t>
      </w:r>
      <w:r w:rsidRPr="007245E0">
        <w:rPr>
          <w:lang w:val="en-GB"/>
        </w:rPr>
        <w:t xml:space="preserve">See </w:t>
      </w:r>
      <w:r w:rsidRPr="007245E0">
        <w:rPr>
          <w:i/>
          <w:lang w:val="en-GB"/>
        </w:rPr>
        <w:t>Vavilov</w:t>
      </w:r>
      <w:r>
        <w:rPr>
          <w:lang w:val="en-GB"/>
        </w:rPr>
        <w:t xml:space="preserve"> at para</w:t>
      </w:r>
      <w:r w:rsidRPr="007245E0">
        <w:rPr>
          <w:lang w:val="en-GB"/>
        </w:rPr>
        <w:t xml:space="preserve"> 23.</w:t>
      </w:r>
    </w:p>
  </w:footnote>
  <w:footnote w:id="47">
    <w:p w14:paraId="67FCA530" w14:textId="51E6C2C0" w:rsidR="001B3AC6" w:rsidRPr="007245E0" w:rsidRDefault="001B3AC6">
      <w:pPr>
        <w:pStyle w:val="FootnoteText"/>
      </w:pPr>
      <w:r w:rsidRPr="007245E0">
        <w:rPr>
          <w:rStyle w:val="FootnoteReference"/>
        </w:rPr>
        <w:footnoteRef/>
      </w:r>
      <w:r w:rsidRPr="007245E0">
        <w:t xml:space="preserve"> And to be determined consistent with the framework set out in </w:t>
      </w:r>
      <w:r w:rsidRPr="007245E0">
        <w:rPr>
          <w:i/>
        </w:rPr>
        <w:t>Baker</w:t>
      </w:r>
      <w:r>
        <w:rPr>
          <w:i/>
        </w:rPr>
        <w:t xml:space="preserve"> v</w:t>
      </w:r>
      <w:r w:rsidRPr="007245E0">
        <w:rPr>
          <w:i/>
        </w:rPr>
        <w:t xml:space="preserve"> Canada (Minister of Citizenship and Immigration)</w:t>
      </w:r>
      <w:r w:rsidRPr="007245E0">
        <w:t>, [1999] 2 SCR 817.</w:t>
      </w:r>
    </w:p>
  </w:footnote>
  <w:footnote w:id="48">
    <w:p w14:paraId="625A215D" w14:textId="1AF9C1B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BCSC 353</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29-30.</w:t>
      </w:r>
    </w:p>
  </w:footnote>
  <w:footnote w:id="49">
    <w:p w14:paraId="36BEE173" w14:textId="0359311D" w:rsidR="001B3AC6" w:rsidRPr="00945298" w:rsidRDefault="001B3AC6" w:rsidP="00945298">
      <w:pPr>
        <w:spacing w:line="240" w:lineRule="auto"/>
        <w:rPr>
          <w:rFonts w:eastAsia="Times New Roman"/>
          <w:szCs w:val="24"/>
          <w:lang w:val="en-US"/>
        </w:rPr>
      </w:pPr>
      <w:r w:rsidRPr="007245E0">
        <w:rPr>
          <w:rStyle w:val="FootnoteReference"/>
        </w:rPr>
        <w:footnoteRef/>
      </w:r>
      <w:r w:rsidRPr="007245E0">
        <w:t xml:space="preserve"> </w:t>
      </w:r>
      <w:r w:rsidRPr="00945298">
        <w:rPr>
          <w:color w:val="000000" w:themeColor="text1"/>
          <w:sz w:val="20"/>
          <w:szCs w:val="20"/>
          <w:lang w:val="en-GB"/>
        </w:rPr>
        <w:t>See further Paul Daly, “Investigating Process, Substance and Procedural Fairness” (2 October 2014), online</w:t>
      </w:r>
      <w:r w:rsidR="008531FD">
        <w:rPr>
          <w:color w:val="000000" w:themeColor="text1"/>
          <w:sz w:val="20"/>
          <w:szCs w:val="20"/>
          <w:lang w:val="en-GB"/>
        </w:rPr>
        <w:t xml:space="preserve"> (blog)</w:t>
      </w:r>
      <w:r w:rsidRPr="00945298">
        <w:rPr>
          <w:color w:val="000000" w:themeColor="text1"/>
          <w:sz w:val="20"/>
          <w:szCs w:val="20"/>
          <w:lang w:val="en-GB"/>
        </w:rPr>
        <w:t>:</w:t>
      </w:r>
      <w:r>
        <w:rPr>
          <w:color w:val="000000" w:themeColor="text1"/>
          <w:sz w:val="20"/>
          <w:szCs w:val="20"/>
          <w:lang w:val="en-GB"/>
        </w:rPr>
        <w:t xml:space="preserve"> </w:t>
      </w:r>
      <w:r w:rsidRPr="00945298">
        <w:rPr>
          <w:i/>
          <w:color w:val="000000" w:themeColor="text1"/>
          <w:sz w:val="20"/>
          <w:szCs w:val="20"/>
          <w:lang w:val="en-GB"/>
        </w:rPr>
        <w:t>Administrative Law Matters</w:t>
      </w:r>
      <w:r w:rsidRPr="00945298">
        <w:rPr>
          <w:color w:val="000000" w:themeColor="text1"/>
          <w:sz w:val="20"/>
          <w:szCs w:val="20"/>
          <w:lang w:val="en-GB"/>
        </w:rPr>
        <w:t xml:space="preserve"> &lt;</w:t>
      </w:r>
      <w:hyperlink r:id="rId4" w:history="1">
        <w:r w:rsidRPr="00945298">
          <w:rPr>
            <w:rStyle w:val="Hyperlink"/>
            <w:color w:val="000000" w:themeColor="text1"/>
            <w:sz w:val="20"/>
            <w:szCs w:val="20"/>
          </w:rPr>
          <w:t>https://www.administrativelawmatters.com/blog/2014/10/02/investigating-process-substance-and-procedural-fairness/</w:t>
        </w:r>
      </w:hyperlink>
      <w:r w:rsidRPr="00945298">
        <w:rPr>
          <w:rFonts w:eastAsia="Times New Roman"/>
          <w:color w:val="000000" w:themeColor="text1"/>
          <w:sz w:val="20"/>
          <w:szCs w:val="20"/>
        </w:rPr>
        <w:t>&gt;</w:t>
      </w:r>
    </w:p>
  </w:footnote>
  <w:footnote w:id="50">
    <w:p w14:paraId="53DBCB7F" w14:textId="4D358924"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w:t>
      </w:r>
      <w:r w:rsidRPr="00945298">
        <w:rPr>
          <w:rFonts w:eastAsia="Times New Roman" w:cs="Times New Roman"/>
          <w:szCs w:val="24"/>
          <w:lang w:val="en-GB" w:eastAsia="en-GB"/>
        </w:rPr>
        <w:t>e.g.</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Radzevicius</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Workplace Safety and Insurance Appeals Tribunal</w:t>
      </w:r>
      <w:hyperlink r:id="rId5" w:history="1">
        <w:r w:rsidRPr="007245E0">
          <w:rPr>
            <w:rFonts w:eastAsia="Times New Roman" w:cs="Times New Roman"/>
            <w:szCs w:val="24"/>
            <w:lang w:val="en-GB" w:eastAsia="en-GB"/>
          </w:rPr>
          <w:t>, 2020 ONSC 319</w:t>
        </w:r>
      </w:hyperlink>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35-39; </w:t>
      </w:r>
      <w:r w:rsidRPr="007245E0">
        <w:rPr>
          <w:rFonts w:eastAsia="Times New Roman" w:cs="Times New Roman"/>
          <w:i/>
          <w:iCs/>
          <w:szCs w:val="24"/>
          <w:lang w:val="en-GB" w:eastAsia="en-GB"/>
        </w:rPr>
        <w:t>Mudjatik Thyssen Mining Joint Venture</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Billette</w:t>
      </w:r>
      <w:r w:rsidRPr="007245E0">
        <w:rPr>
          <w:rFonts w:eastAsia="Times New Roman" w:cs="Times New Roman"/>
          <w:szCs w:val="24"/>
          <w:lang w:val="en-GB" w:eastAsia="en-GB"/>
        </w:rPr>
        <w:t>, 2020 FC 255</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59-77; </w:t>
      </w:r>
      <w:r w:rsidRPr="007245E0">
        <w:rPr>
          <w:rFonts w:eastAsia="Times New Roman" w:cs="Times New Roman"/>
          <w:i/>
          <w:iCs/>
          <w:szCs w:val="24"/>
          <w:lang w:val="en-GB" w:eastAsia="en-GB"/>
        </w:rPr>
        <w:t>Bashir</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w:t>
      </w:r>
      <w:r>
        <w:rPr>
          <w:rFonts w:eastAsia="Times New Roman" w:cs="Times New Roman"/>
          <w:i/>
          <w:iCs/>
          <w:szCs w:val="24"/>
          <w:lang w:val="en-GB" w:eastAsia="en-GB"/>
        </w:rPr>
        <w:t>(AG)</w:t>
      </w:r>
      <w:r w:rsidRPr="007245E0">
        <w:rPr>
          <w:rFonts w:eastAsia="Times New Roman" w:cs="Times New Roman"/>
          <w:szCs w:val="24"/>
          <w:lang w:val="en-GB" w:eastAsia="en-GB"/>
        </w:rPr>
        <w:t>, 2020 FC 278</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w:t>
      </w:r>
      <w:r w:rsidRPr="007245E0">
        <w:rPr>
          <w:rFonts w:eastAsia="Times New Roman" w:cs="Times New Roman"/>
          <w:szCs w:val="24"/>
          <w:lang w:val="fr-CA" w:eastAsia="en-GB"/>
        </w:rPr>
        <w:t>29.</w:t>
      </w:r>
    </w:p>
  </w:footnote>
  <w:footnote w:id="51">
    <w:p w14:paraId="321AB55B" w14:textId="52727F98" w:rsidR="001B3AC6" w:rsidRPr="007245E0" w:rsidRDefault="001B3AC6">
      <w:pPr>
        <w:pStyle w:val="FootnoteText"/>
        <w:rPr>
          <w:lang w:val="en-GB"/>
        </w:rPr>
      </w:pPr>
      <w:r w:rsidRPr="007245E0">
        <w:rPr>
          <w:rStyle w:val="FootnoteReference"/>
        </w:rPr>
        <w:footnoteRef/>
      </w:r>
      <w:r w:rsidRPr="007245E0">
        <w:rPr>
          <w:lang w:val="fr-CA"/>
        </w:rPr>
        <w:t xml:space="preserve"> </w:t>
      </w:r>
      <w:r w:rsidRPr="007245E0">
        <w:rPr>
          <w:rFonts w:eastAsia="Times New Roman" w:cs="Times New Roman"/>
          <w:szCs w:val="24"/>
          <w:lang w:val="fr-CA" w:eastAsia="en-GB"/>
        </w:rPr>
        <w:t xml:space="preserve">See </w:t>
      </w:r>
      <w:r w:rsidRPr="00945298">
        <w:rPr>
          <w:rFonts w:eastAsia="Times New Roman" w:cs="Times New Roman"/>
          <w:szCs w:val="24"/>
          <w:lang w:val="fr-CA" w:eastAsia="en-GB"/>
        </w:rPr>
        <w:t>e.g.</w:t>
      </w:r>
      <w:r w:rsidRPr="007245E0">
        <w:rPr>
          <w:rFonts w:eastAsia="Times New Roman" w:cs="Times New Roman"/>
          <w:szCs w:val="24"/>
          <w:lang w:val="fr-CA" w:eastAsia="en-GB"/>
        </w:rPr>
        <w:t xml:space="preserve"> </w:t>
      </w:r>
      <w:r w:rsidRPr="007245E0">
        <w:rPr>
          <w:rFonts w:eastAsia="Times New Roman" w:cs="Times New Roman"/>
          <w:i/>
          <w:iCs/>
          <w:szCs w:val="24"/>
          <w:lang w:val="fr-CA" w:eastAsia="en-GB"/>
        </w:rPr>
        <w:t xml:space="preserve">Bombardier Aéronautique </w:t>
      </w:r>
      <w:r>
        <w:rPr>
          <w:rFonts w:eastAsia="Times New Roman" w:cs="Times New Roman"/>
          <w:i/>
          <w:iCs/>
          <w:szCs w:val="24"/>
          <w:lang w:val="fr-CA" w:eastAsia="en-GB"/>
        </w:rPr>
        <w:t>inc c</w:t>
      </w:r>
      <w:r w:rsidRPr="007245E0">
        <w:rPr>
          <w:rFonts w:eastAsia="Times New Roman" w:cs="Times New Roman"/>
          <w:i/>
          <w:iCs/>
          <w:szCs w:val="24"/>
          <w:lang w:val="fr-CA" w:eastAsia="en-GB"/>
        </w:rPr>
        <w:t xml:space="preserve"> Commission des normes de l’équité, de la santé et de la sécurité au travail</w:t>
      </w:r>
      <w:r w:rsidRPr="007245E0">
        <w:rPr>
          <w:rFonts w:eastAsia="Times New Roman" w:cs="Times New Roman"/>
          <w:szCs w:val="24"/>
          <w:lang w:val="fr-CA" w:eastAsia="en-GB"/>
        </w:rPr>
        <w:t>, 2020 QCCA 315</w:t>
      </w:r>
      <w:r>
        <w:rPr>
          <w:rFonts w:eastAsia="Times New Roman" w:cs="Times New Roman"/>
          <w:szCs w:val="24"/>
          <w:lang w:val="fr-CA" w:eastAsia="en-GB"/>
        </w:rPr>
        <w:t xml:space="preserve"> at paras</w:t>
      </w:r>
      <w:r w:rsidRPr="007245E0">
        <w:rPr>
          <w:rFonts w:eastAsia="Times New Roman" w:cs="Times New Roman"/>
          <w:szCs w:val="24"/>
          <w:lang w:val="fr-CA" w:eastAsia="en-GB"/>
        </w:rPr>
        <w:t xml:space="preserve"> 30-46; </w:t>
      </w:r>
      <w:r w:rsidRPr="007245E0">
        <w:rPr>
          <w:rFonts w:eastAsia="Times New Roman" w:cs="Times New Roman"/>
          <w:i/>
          <w:iCs/>
          <w:szCs w:val="24"/>
          <w:lang w:val="fr-CA" w:eastAsia="en-GB"/>
        </w:rPr>
        <w:t>Yassin</w:t>
      </w:r>
      <w:r>
        <w:rPr>
          <w:rFonts w:eastAsia="Times New Roman" w:cs="Times New Roman"/>
          <w:i/>
          <w:iCs/>
          <w:szCs w:val="24"/>
          <w:lang w:val="fr-CA" w:eastAsia="en-GB"/>
        </w:rPr>
        <w:t xml:space="preserve"> v</w:t>
      </w:r>
      <w:r w:rsidRPr="007245E0">
        <w:rPr>
          <w:rFonts w:eastAsia="Times New Roman" w:cs="Times New Roman"/>
          <w:i/>
          <w:iCs/>
          <w:szCs w:val="24"/>
          <w:lang w:val="fr-CA" w:eastAsia="en-GB"/>
        </w:rPr>
        <w:t xml:space="preserve"> Canada </w:t>
      </w:r>
      <w:r>
        <w:rPr>
          <w:rFonts w:eastAsia="Times New Roman" w:cs="Times New Roman"/>
          <w:i/>
          <w:iCs/>
          <w:szCs w:val="24"/>
          <w:lang w:val="fr-CA" w:eastAsia="en-GB"/>
        </w:rPr>
        <w:t>(AG)</w:t>
      </w:r>
      <w:r w:rsidRPr="007245E0">
        <w:rPr>
          <w:rFonts w:eastAsia="Times New Roman" w:cs="Times New Roman"/>
          <w:szCs w:val="24"/>
          <w:lang w:val="fr-CA" w:eastAsia="en-GB"/>
        </w:rPr>
        <w:t>, 2020 FC 237</w:t>
      </w:r>
      <w:r>
        <w:rPr>
          <w:rFonts w:eastAsia="Times New Roman" w:cs="Times New Roman"/>
          <w:szCs w:val="24"/>
          <w:lang w:val="fr-CA" w:eastAsia="en-GB"/>
        </w:rPr>
        <w:t xml:space="preserve"> at paras</w:t>
      </w:r>
      <w:r w:rsidRPr="007245E0">
        <w:rPr>
          <w:rFonts w:eastAsia="Times New Roman" w:cs="Times New Roman"/>
          <w:szCs w:val="24"/>
          <w:lang w:val="fr-CA" w:eastAsia="en-GB"/>
        </w:rPr>
        <w:t xml:space="preserve"> 42-43; </w:t>
      </w:r>
      <w:r w:rsidRPr="007245E0">
        <w:rPr>
          <w:rFonts w:eastAsia="Times New Roman" w:cs="Times New Roman"/>
          <w:i/>
          <w:iCs/>
          <w:szCs w:val="24"/>
          <w:lang w:val="fr-CA" w:eastAsia="en-GB"/>
        </w:rPr>
        <w:t>Mohammed</w:t>
      </w:r>
      <w:r>
        <w:rPr>
          <w:rFonts w:eastAsia="Times New Roman" w:cs="Times New Roman"/>
          <w:i/>
          <w:iCs/>
          <w:szCs w:val="24"/>
          <w:lang w:val="fr-CA" w:eastAsia="en-GB"/>
        </w:rPr>
        <w:t xml:space="preserve"> v</w:t>
      </w:r>
      <w:r w:rsidRPr="007245E0">
        <w:rPr>
          <w:rFonts w:eastAsia="Times New Roman" w:cs="Times New Roman"/>
          <w:i/>
          <w:iCs/>
          <w:szCs w:val="24"/>
          <w:lang w:val="fr-CA" w:eastAsia="en-GB"/>
        </w:rPr>
        <w:t xml:space="preserve"> Canada (Citizenship and Immigration)</w:t>
      </w:r>
      <w:r w:rsidRPr="007245E0">
        <w:rPr>
          <w:rFonts w:eastAsia="Times New Roman" w:cs="Times New Roman"/>
          <w:szCs w:val="24"/>
          <w:lang w:val="fr-CA" w:eastAsia="en-GB"/>
        </w:rPr>
        <w:t>, 20</w:t>
      </w:r>
      <w:r w:rsidRPr="007245E0">
        <w:rPr>
          <w:rFonts w:eastAsia="Times New Roman" w:cs="Times New Roman"/>
          <w:szCs w:val="24"/>
          <w:lang w:val="en-GB" w:eastAsia="en-GB"/>
        </w:rPr>
        <w:t xml:space="preserve">20 FC 234, </w:t>
      </w:r>
      <w:r w:rsidRPr="007245E0">
        <w:rPr>
          <w:rFonts w:eastAsia="Times New Roman" w:cs="Times New Roman"/>
          <w:i/>
          <w:iCs/>
          <w:szCs w:val="24"/>
          <w:lang w:val="en-GB" w:eastAsia="en-GB"/>
        </w:rPr>
        <w:t>passim</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Huang</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241</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27; </w:t>
      </w:r>
      <w:r w:rsidRPr="007245E0">
        <w:rPr>
          <w:rFonts w:eastAsia="Times New Roman" w:cs="Times New Roman"/>
          <w:i/>
          <w:iCs/>
          <w:szCs w:val="24"/>
          <w:lang w:val="en-GB" w:eastAsia="en-GB"/>
        </w:rPr>
        <w:t>Singh</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xml:space="preserve">, 2020 FC 328, </w:t>
      </w:r>
      <w:r w:rsidRPr="007245E0">
        <w:rPr>
          <w:rFonts w:eastAsia="Times New Roman" w:cs="Times New Roman"/>
          <w:i/>
          <w:iCs/>
          <w:szCs w:val="24"/>
          <w:lang w:val="en-GB" w:eastAsia="en-GB"/>
        </w:rPr>
        <w:t>passim</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Theivendram</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(Public Safety and Emergency Preparedness)</w:t>
      </w:r>
      <w:r w:rsidRPr="007245E0">
        <w:rPr>
          <w:rFonts w:eastAsia="Times New Roman" w:cs="Times New Roman"/>
          <w:szCs w:val="24"/>
          <w:lang w:val="en-GB" w:eastAsia="en-GB"/>
        </w:rPr>
        <w:t>, 2020 FC 419</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40.</w:t>
      </w:r>
    </w:p>
  </w:footnote>
  <w:footnote w:id="52">
    <w:p w14:paraId="45AC4551" w14:textId="44366BA5"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w:t>
      </w:r>
      <w:r w:rsidRPr="008044CE">
        <w:rPr>
          <w:rFonts w:eastAsia="Times New Roman" w:cs="Times New Roman"/>
          <w:iCs/>
          <w:szCs w:val="24"/>
          <w:lang w:val="en-GB" w:eastAsia="en-GB"/>
        </w:rPr>
        <w:t>e.g.</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Calgary (City) v Sunridge Mall Holdings Inc</w:t>
      </w:r>
      <w:r w:rsidRPr="007245E0">
        <w:rPr>
          <w:rFonts w:eastAsia="Times New Roman" w:cs="Times New Roman"/>
          <w:szCs w:val="24"/>
          <w:lang w:val="en-GB" w:eastAsia="en-GB"/>
        </w:rPr>
        <w:t xml:space="preserve">, 2020 ABQB 148; </w:t>
      </w:r>
      <w:r w:rsidRPr="007245E0">
        <w:rPr>
          <w:rFonts w:eastAsia="Times New Roman" w:cs="Times New Roman"/>
          <w:i/>
          <w:iCs/>
          <w:szCs w:val="24"/>
          <w:lang w:val="en-GB" w:eastAsia="en-GB"/>
        </w:rPr>
        <w:t>Saleh</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457</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15.</w:t>
      </w:r>
    </w:p>
  </w:footnote>
  <w:footnote w:id="53">
    <w:p w14:paraId="7CEC056B" w14:textId="76CC6511"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w:t>
      </w:r>
      <w:r w:rsidRPr="008044CE">
        <w:rPr>
          <w:rFonts w:eastAsia="Times New Roman" w:cs="Times New Roman"/>
          <w:iCs/>
          <w:szCs w:val="24"/>
          <w:lang w:val="en-GB" w:eastAsia="en-GB"/>
        </w:rPr>
        <w:t>e.g.</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Canada (Public Safety and Emergency Preparedness)</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Shen</w:t>
      </w:r>
      <w:r w:rsidRPr="007245E0">
        <w:rPr>
          <w:rFonts w:eastAsia="Times New Roman" w:cs="Times New Roman"/>
          <w:szCs w:val="24"/>
          <w:lang w:val="en-GB" w:eastAsia="en-GB"/>
        </w:rPr>
        <w:t xml:space="preserve">, 2020 FC 405; </w:t>
      </w:r>
      <w:r w:rsidRPr="007245E0">
        <w:rPr>
          <w:rFonts w:eastAsia="Times New Roman" w:cs="Times New Roman"/>
          <w:i/>
          <w:iCs/>
          <w:szCs w:val="24"/>
          <w:lang w:val="en-GB" w:eastAsia="en-GB"/>
        </w:rPr>
        <w:t xml:space="preserve">Canada </w:t>
      </w:r>
      <w:r>
        <w:rPr>
          <w:rFonts w:eastAsia="Times New Roman" w:cs="Times New Roman"/>
          <w:i/>
          <w:iCs/>
          <w:szCs w:val="24"/>
          <w:lang w:val="en-GB" w:eastAsia="en-GB"/>
        </w:rPr>
        <w:t>(AG) v</w:t>
      </w:r>
      <w:r w:rsidRPr="007245E0">
        <w:rPr>
          <w:rFonts w:eastAsia="Times New Roman" w:cs="Times New Roman"/>
          <w:i/>
          <w:iCs/>
          <w:szCs w:val="24"/>
          <w:lang w:val="en-GB" w:eastAsia="en-GB"/>
        </w:rPr>
        <w:t xml:space="preserve"> Honey Fashions Ltd.</w:t>
      </w:r>
      <w:r w:rsidRPr="007245E0">
        <w:rPr>
          <w:rFonts w:eastAsia="Times New Roman" w:cs="Times New Roman"/>
          <w:szCs w:val="24"/>
          <w:lang w:val="en-GB" w:eastAsia="en-GB"/>
        </w:rPr>
        <w:t>, 2020 FCA 64.</w:t>
      </w:r>
    </w:p>
  </w:footnote>
  <w:footnote w:id="54">
    <w:p w14:paraId="0598E7A4" w14:textId="01254446" w:rsidR="001B3AC6" w:rsidRPr="007245E0" w:rsidRDefault="001B3AC6">
      <w:pPr>
        <w:pStyle w:val="FootnoteText"/>
        <w:rPr>
          <w:lang w:val="fr-CA"/>
        </w:rPr>
      </w:pPr>
      <w:r w:rsidRPr="007245E0">
        <w:rPr>
          <w:rStyle w:val="FootnoteReference"/>
        </w:rPr>
        <w:footnoteRef/>
      </w:r>
      <w:r w:rsidRPr="007245E0">
        <w:rPr>
          <w:lang w:val="fr-CA"/>
        </w:rPr>
        <w:t xml:space="preserve"> </w:t>
      </w:r>
      <w:r w:rsidRPr="007245E0">
        <w:rPr>
          <w:rFonts w:eastAsia="Times New Roman" w:cs="Times New Roman"/>
          <w:i/>
          <w:iCs/>
          <w:szCs w:val="24"/>
          <w:lang w:val="fr-CA" w:eastAsia="en-GB"/>
        </w:rPr>
        <w:t>Syndicat de l’enseignement de Champlain</w:t>
      </w:r>
      <w:r>
        <w:rPr>
          <w:rFonts w:eastAsia="Times New Roman" w:cs="Times New Roman"/>
          <w:i/>
          <w:iCs/>
          <w:szCs w:val="24"/>
          <w:lang w:val="fr-CA" w:eastAsia="en-GB"/>
        </w:rPr>
        <w:t xml:space="preserve"> c</w:t>
      </w:r>
      <w:r w:rsidRPr="007245E0">
        <w:rPr>
          <w:rFonts w:eastAsia="Times New Roman" w:cs="Times New Roman"/>
          <w:i/>
          <w:iCs/>
          <w:szCs w:val="24"/>
          <w:lang w:val="fr-CA" w:eastAsia="en-GB"/>
        </w:rPr>
        <w:t xml:space="preserve"> Commission scolaire Marie-Victorin</w:t>
      </w:r>
      <w:hyperlink r:id="rId6" w:history="1">
        <w:r w:rsidRPr="007245E0">
          <w:rPr>
            <w:rFonts w:eastAsia="Times New Roman" w:cs="Times New Roman"/>
            <w:szCs w:val="24"/>
            <w:lang w:val="fr-CA" w:eastAsia="en-GB"/>
          </w:rPr>
          <w:t>, 2020 QCCA 135</w:t>
        </w:r>
      </w:hyperlink>
      <w:r>
        <w:rPr>
          <w:rFonts w:eastAsia="Times New Roman" w:cs="Times New Roman"/>
          <w:szCs w:val="24"/>
          <w:lang w:val="fr-CA" w:eastAsia="en-GB"/>
        </w:rPr>
        <w:t xml:space="preserve"> at paras 41, 65. See also</w:t>
      </w:r>
      <w:r w:rsidRPr="007245E0">
        <w:rPr>
          <w:rFonts w:eastAsia="Times New Roman" w:cs="Times New Roman"/>
          <w:szCs w:val="24"/>
          <w:lang w:val="fr-CA" w:eastAsia="en-GB"/>
        </w:rPr>
        <w:t xml:space="preserve"> </w:t>
      </w:r>
      <w:r w:rsidRPr="007245E0">
        <w:rPr>
          <w:rFonts w:eastAsia="Times New Roman" w:cs="Times New Roman"/>
          <w:i/>
          <w:iCs/>
          <w:szCs w:val="24"/>
          <w:lang w:val="fr-CA" w:eastAsia="en-GB"/>
        </w:rPr>
        <w:t xml:space="preserve">Syndicat des </w:t>
      </w:r>
      <w:r>
        <w:rPr>
          <w:rFonts w:eastAsia="Times New Roman" w:cs="Times New Roman"/>
          <w:i/>
          <w:iCs/>
          <w:szCs w:val="24"/>
          <w:lang w:val="fr-CA" w:eastAsia="en-GB"/>
        </w:rPr>
        <w:t>métallos, section locale 9449 c</w:t>
      </w:r>
      <w:r w:rsidRPr="007245E0">
        <w:rPr>
          <w:rFonts w:eastAsia="Times New Roman" w:cs="Times New Roman"/>
          <w:i/>
          <w:iCs/>
          <w:szCs w:val="24"/>
          <w:lang w:val="fr-CA" w:eastAsia="en-GB"/>
        </w:rPr>
        <w:t xml:space="preserve"> Glencore Canada Corporation</w:t>
      </w:r>
      <w:r w:rsidRPr="007245E0">
        <w:rPr>
          <w:rFonts w:eastAsia="Times New Roman" w:cs="Times New Roman"/>
          <w:szCs w:val="24"/>
          <w:lang w:val="fr-CA" w:eastAsia="en-GB"/>
        </w:rPr>
        <w:t>, 2020 QCCA 407</w:t>
      </w:r>
      <w:r>
        <w:rPr>
          <w:rFonts w:eastAsia="Times New Roman" w:cs="Times New Roman"/>
          <w:szCs w:val="24"/>
          <w:lang w:val="fr-CA" w:eastAsia="en-GB"/>
        </w:rPr>
        <w:t xml:space="preserve"> at paras</w:t>
      </w:r>
      <w:r w:rsidRPr="007245E0">
        <w:rPr>
          <w:rFonts w:eastAsia="Times New Roman" w:cs="Times New Roman"/>
          <w:szCs w:val="24"/>
          <w:lang w:val="fr-CA" w:eastAsia="en-GB"/>
        </w:rPr>
        <w:t xml:space="preserve"> 33-34.</w:t>
      </w:r>
    </w:p>
  </w:footnote>
  <w:footnote w:id="55">
    <w:p w14:paraId="55FB252A" w14:textId="77777777"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2020 FCA</w:t>
      </w:r>
      <w:r w:rsidRPr="007245E0">
        <w:rPr>
          <w:rFonts w:eastAsia="Times New Roman" w:cs="Times New Roman"/>
          <w:szCs w:val="24"/>
          <w:lang w:val="en-GB" w:eastAsia="en-GB"/>
        </w:rPr>
        <w:t xml:space="preserve"> 25.</w:t>
      </w:r>
    </w:p>
  </w:footnote>
  <w:footnote w:id="56">
    <w:p w14:paraId="1ECDAB01" w14:textId="3E0C31F1"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At </w:t>
      </w:r>
      <w:r>
        <w:rPr>
          <w:rFonts w:eastAsia="Times New Roman" w:cs="Times New Roman"/>
          <w:szCs w:val="24"/>
          <w:lang w:val="en-GB" w:eastAsia="en-GB"/>
        </w:rPr>
        <w:t>para</w:t>
      </w:r>
      <w:r w:rsidRPr="007245E0">
        <w:rPr>
          <w:rFonts w:eastAsia="Times New Roman" w:cs="Times New Roman"/>
          <w:szCs w:val="24"/>
          <w:lang w:val="en-GB" w:eastAsia="en-GB"/>
        </w:rPr>
        <w:t xml:space="preserve"> 12. See similarly </w:t>
      </w:r>
      <w:r w:rsidRPr="007245E0">
        <w:rPr>
          <w:rFonts w:eastAsia="Times New Roman" w:cs="Times New Roman"/>
          <w:i/>
          <w:iCs/>
          <w:szCs w:val="24"/>
          <w:lang w:val="en-GB" w:eastAsia="en-GB"/>
        </w:rPr>
        <w:t>Walker</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w:t>
      </w:r>
      <w:r>
        <w:rPr>
          <w:rFonts w:eastAsia="Times New Roman" w:cs="Times New Roman"/>
          <w:i/>
          <w:iCs/>
          <w:szCs w:val="24"/>
          <w:lang w:val="en-GB" w:eastAsia="en-GB"/>
        </w:rPr>
        <w:t>(AG)</w:t>
      </w:r>
      <w:r w:rsidRPr="007245E0">
        <w:rPr>
          <w:rFonts w:eastAsia="Times New Roman" w:cs="Times New Roman"/>
          <w:szCs w:val="24"/>
          <w:lang w:val="en-GB" w:eastAsia="en-GB"/>
        </w:rPr>
        <w:t>, 2020 FCA 44</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10.</w:t>
      </w:r>
    </w:p>
  </w:footnote>
  <w:footnote w:id="57">
    <w:p w14:paraId="53260AAC" w14:textId="096ED4C8"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at </w:t>
      </w:r>
      <w:r>
        <w:rPr>
          <w:rFonts w:eastAsia="Times New Roman" w:cs="Times New Roman"/>
          <w:szCs w:val="24"/>
          <w:lang w:val="en-GB" w:eastAsia="en-GB"/>
        </w:rPr>
        <w:t>para</w:t>
      </w:r>
      <w:r w:rsidRPr="007245E0">
        <w:rPr>
          <w:rFonts w:eastAsia="Times New Roman" w:cs="Times New Roman"/>
          <w:szCs w:val="24"/>
          <w:lang w:val="en-GB" w:eastAsia="en-GB"/>
        </w:rPr>
        <w:t xml:space="preserve"> 94. See also </w:t>
      </w:r>
      <w:r w:rsidRPr="007245E0">
        <w:rPr>
          <w:rFonts w:eastAsia="Times New Roman" w:cs="Times New Roman"/>
          <w:i/>
          <w:iCs/>
          <w:szCs w:val="24"/>
          <w:lang w:val="en-GB" w:eastAsia="en-GB"/>
        </w:rPr>
        <w:t>Haddad Pour</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The National Dental Examining Board of Canada</w:t>
      </w:r>
      <w:r w:rsidRPr="007245E0">
        <w:rPr>
          <w:rFonts w:eastAsia="Times New Roman" w:cs="Times New Roman"/>
          <w:szCs w:val="24"/>
          <w:lang w:val="en-GB" w:eastAsia="en-GB"/>
        </w:rPr>
        <w:t>, 2020 ONSC 555</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37-40.</w:t>
      </w:r>
    </w:p>
  </w:footnote>
  <w:footnote w:id="58">
    <w:p w14:paraId="757442FF" w14:textId="1BC4BCB2"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i/>
          <w:iCs/>
          <w:szCs w:val="24"/>
          <w:lang w:val="en-GB" w:eastAsia="en-GB"/>
        </w:rPr>
        <w:t>Mattar</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The National Dental Examining Board of Canada</w:t>
      </w:r>
      <w:r w:rsidRPr="007245E0">
        <w:rPr>
          <w:rFonts w:eastAsia="Times New Roman" w:cs="Times New Roman"/>
          <w:szCs w:val="24"/>
          <w:lang w:val="en-GB" w:eastAsia="en-GB"/>
        </w:rPr>
        <w:t>, 2020 ONSC 403</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51-52; </w:t>
      </w:r>
      <w:r w:rsidRPr="007245E0">
        <w:rPr>
          <w:rFonts w:eastAsia="Times New Roman" w:cs="Times New Roman"/>
          <w:i/>
          <w:iCs/>
          <w:szCs w:val="24"/>
          <w:lang w:val="en-GB" w:eastAsia="en-GB"/>
        </w:rPr>
        <w:t>Walker</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w:t>
      </w:r>
      <w:r>
        <w:rPr>
          <w:rFonts w:eastAsia="Times New Roman" w:cs="Times New Roman"/>
          <w:i/>
          <w:iCs/>
          <w:szCs w:val="24"/>
          <w:lang w:val="en-GB" w:eastAsia="en-GB"/>
        </w:rPr>
        <w:t>(AG)</w:t>
      </w:r>
      <w:r w:rsidRPr="007245E0">
        <w:rPr>
          <w:rFonts w:eastAsia="Times New Roman" w:cs="Times New Roman"/>
          <w:szCs w:val="24"/>
          <w:lang w:val="en-GB" w:eastAsia="en-GB"/>
        </w:rPr>
        <w:t>, 2020 FCA 44</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10.</w:t>
      </w:r>
    </w:p>
  </w:footnote>
  <w:footnote w:id="59">
    <w:p w14:paraId="083B1AAA" w14:textId="20E9727E"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FCA 48</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18.</w:t>
      </w:r>
    </w:p>
  </w:footnote>
  <w:footnote w:id="60">
    <w:p w14:paraId="5E7AA022" w14:textId="36DA1CEC"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At </w:t>
      </w:r>
      <w:r>
        <w:rPr>
          <w:rFonts w:eastAsia="Times New Roman" w:cs="Times New Roman"/>
          <w:szCs w:val="24"/>
          <w:lang w:val="en-GB" w:eastAsia="en-GB"/>
        </w:rPr>
        <w:t>para</w:t>
      </w:r>
      <w:r w:rsidRPr="007245E0">
        <w:rPr>
          <w:rFonts w:eastAsia="Times New Roman" w:cs="Times New Roman"/>
          <w:szCs w:val="24"/>
          <w:lang w:val="en-GB" w:eastAsia="en-GB"/>
        </w:rPr>
        <w:t xml:space="preserve"> 19.</w:t>
      </w:r>
    </w:p>
  </w:footnote>
  <w:footnote w:id="61">
    <w:p w14:paraId="215E10EB" w14:textId="1E1C02D4"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See</w:t>
      </w:r>
      <w:r>
        <w:rPr>
          <w:rFonts w:eastAsia="Times New Roman" w:cs="Times New Roman"/>
          <w:szCs w:val="24"/>
          <w:lang w:val="en-GB" w:eastAsia="en-GB"/>
        </w:rPr>
        <w:t xml:space="preserve"> also the very relaxed approach—too relaxed, in my view—</w:t>
      </w:r>
      <w:r w:rsidRPr="007245E0">
        <w:rPr>
          <w:rFonts w:eastAsia="Times New Roman" w:cs="Times New Roman"/>
          <w:szCs w:val="24"/>
          <w:lang w:val="en-GB" w:eastAsia="en-GB"/>
        </w:rPr>
        <w:t xml:space="preserve">taken in </w:t>
      </w:r>
      <w:r w:rsidRPr="007245E0">
        <w:rPr>
          <w:rFonts w:eastAsia="Times New Roman" w:cs="Times New Roman"/>
          <w:i/>
          <w:iCs/>
          <w:szCs w:val="24"/>
          <w:lang w:val="en-GB" w:eastAsia="en-GB"/>
        </w:rPr>
        <w:t>ImagineAbility Inc v City of Winnipeg</w:t>
      </w:r>
      <w:r w:rsidRPr="007245E0">
        <w:rPr>
          <w:rFonts w:eastAsia="Times New Roman" w:cs="Times New Roman"/>
          <w:szCs w:val="24"/>
          <w:lang w:val="en-GB" w:eastAsia="en-GB"/>
        </w:rPr>
        <w:t>, 2020 MBCA 39</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45.</w:t>
      </w:r>
    </w:p>
  </w:footnote>
  <w:footnote w:id="62">
    <w:p w14:paraId="30BBD5AC" w14:textId="66CD9811"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295</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26.</w:t>
      </w:r>
    </w:p>
  </w:footnote>
  <w:footnote w:id="63">
    <w:p w14:paraId="3100FA35" w14:textId="26DA32AA"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125</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67-68.</w:t>
      </w:r>
    </w:p>
  </w:footnote>
  <w:footnote w:id="64">
    <w:p w14:paraId="30C4E50B" w14:textId="7424AD13" w:rsidR="008531FD" w:rsidRPr="007245E0" w:rsidRDefault="008531FD" w:rsidP="008531FD">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QCCA 134</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39-44. See also </w:t>
      </w:r>
      <w:r w:rsidRPr="007245E0">
        <w:rPr>
          <w:rFonts w:eastAsia="Times New Roman" w:cs="Times New Roman"/>
          <w:i/>
          <w:iCs/>
          <w:szCs w:val="24"/>
          <w:lang w:val="en-GB" w:eastAsia="en-GB"/>
        </w:rPr>
        <w:t>Alexander</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313 (failure to respond to a mass of ev</w:t>
      </w:r>
      <w:r>
        <w:rPr>
          <w:rFonts w:eastAsia="Times New Roman" w:cs="Times New Roman"/>
          <w:szCs w:val="24"/>
          <w:lang w:val="en-GB" w:eastAsia="en-GB"/>
        </w:rPr>
        <w:t>idence was unreasonable);</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Alsaloussi</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w:t>
      </w:r>
      <w:r>
        <w:rPr>
          <w:rFonts w:eastAsia="Times New Roman" w:cs="Times New Roman"/>
          <w:i/>
          <w:iCs/>
          <w:szCs w:val="24"/>
          <w:lang w:val="en-GB" w:eastAsia="en-GB"/>
        </w:rPr>
        <w:t>(AG)</w:t>
      </w:r>
      <w:r w:rsidRPr="007245E0">
        <w:rPr>
          <w:rFonts w:eastAsia="Times New Roman" w:cs="Times New Roman"/>
          <w:szCs w:val="24"/>
          <w:lang w:val="en-GB" w:eastAsia="en-GB"/>
        </w:rPr>
        <w:t>, 2020 FC 364 (failure to grapple with contradictory evidence, i</w:t>
      </w:r>
      <w:r>
        <w:rPr>
          <w:rFonts w:eastAsia="Times New Roman" w:cs="Times New Roman"/>
          <w:szCs w:val="24"/>
          <w:lang w:val="en-GB" w:eastAsia="en-GB"/>
        </w:rPr>
        <w:t xml:space="preserve">n a context where the decision </w:t>
      </w:r>
      <w:r w:rsidRPr="007245E0">
        <w:rPr>
          <w:rFonts w:eastAsia="Times New Roman" w:cs="Times New Roman"/>
          <w:szCs w:val="24"/>
          <w:lang w:val="en-GB" w:eastAsia="en-GB"/>
        </w:rPr>
        <w:t>to bar the applicant from pa</w:t>
      </w:r>
      <w:r>
        <w:rPr>
          <w:rFonts w:eastAsia="Times New Roman" w:cs="Times New Roman"/>
          <w:szCs w:val="24"/>
          <w:lang w:val="en-GB" w:eastAsia="en-GB"/>
        </w:rPr>
        <w:t>ssport services for three years</w:t>
      </w:r>
      <w:r w:rsidRPr="007245E0">
        <w:rPr>
          <w:rFonts w:eastAsia="Times New Roman" w:cs="Times New Roman"/>
          <w:szCs w:val="24"/>
          <w:lang w:val="en-GB" w:eastAsia="en-GB"/>
        </w:rPr>
        <w:t xml:space="preserve"> had significant consequences for the individual concerned)</w:t>
      </w:r>
      <w:r>
        <w:rPr>
          <w:rFonts w:eastAsia="Times New Roman" w:cs="Times New Roman"/>
          <w:szCs w:val="24"/>
          <w:lang w:val="en-GB" w:eastAsia="en-GB"/>
        </w:rPr>
        <w:t>;</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Pryce</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Pr>
          <w:rFonts w:eastAsia="Times New Roman" w:cs="Times New Roman"/>
          <w:szCs w:val="24"/>
          <w:lang w:val="en-GB" w:eastAsia="en-GB"/>
        </w:rPr>
        <w:t>, 2020 FC 377 (in which</w:t>
      </w:r>
      <w:r w:rsidRPr="007245E0">
        <w:rPr>
          <w:rFonts w:eastAsia="Times New Roman" w:cs="Times New Roman"/>
          <w:szCs w:val="24"/>
          <w:lang w:val="en-GB" w:eastAsia="en-GB"/>
        </w:rPr>
        <w:t xml:space="preserve"> a question has been certified to the Federal Court of Appeal)</w:t>
      </w:r>
    </w:p>
  </w:footnote>
  <w:footnote w:id="65">
    <w:p w14:paraId="3D64926E" w14:textId="22D818C3"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77</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17.</w:t>
      </w:r>
    </w:p>
  </w:footnote>
  <w:footnote w:id="66">
    <w:p w14:paraId="565256F5" w14:textId="7FBBA939"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157</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22.</w:t>
      </w:r>
    </w:p>
  </w:footnote>
  <w:footnote w:id="67">
    <w:p w14:paraId="2FDEDC68" w14:textId="122868FC"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279</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13.</w:t>
      </w:r>
    </w:p>
  </w:footnote>
  <w:footnote w:id="68">
    <w:p w14:paraId="13BA4EBC" w14:textId="70E4FA20"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also </w:t>
      </w:r>
      <w:r w:rsidRPr="007245E0">
        <w:rPr>
          <w:rFonts w:eastAsia="Times New Roman" w:cs="Times New Roman"/>
          <w:i/>
          <w:iCs/>
          <w:szCs w:val="24"/>
          <w:lang w:val="en-GB" w:eastAsia="en-GB"/>
        </w:rPr>
        <w:t>Low</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Nova Scotia Police Complaints Commissioner</w:t>
      </w:r>
      <w:r w:rsidRPr="007245E0">
        <w:rPr>
          <w:rFonts w:eastAsia="Times New Roman" w:cs="Times New Roman"/>
          <w:szCs w:val="24"/>
          <w:lang w:val="en-GB" w:eastAsia="en-GB"/>
        </w:rPr>
        <w:t>, 2020 NSSC 113</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58;</w:t>
      </w:r>
      <w:r w:rsidRPr="007245E0">
        <w:rPr>
          <w:rFonts w:eastAsia="Times New Roman" w:cs="Times New Roman"/>
          <w:i/>
          <w:iCs/>
          <w:szCs w:val="24"/>
          <w:lang w:val="en-GB" w:eastAsia="en-GB"/>
        </w:rPr>
        <w:t xml:space="preserve"> A</w:t>
      </w:r>
      <w:r>
        <w:rPr>
          <w:rFonts w:eastAsia="Times New Roman" w:cs="Times New Roman"/>
          <w:i/>
          <w:iCs/>
          <w:szCs w:val="24"/>
          <w:lang w:val="en-GB" w:eastAsia="en-GB"/>
        </w:rPr>
        <w:t>B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203</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53.</w:t>
      </w:r>
    </w:p>
  </w:footnote>
  <w:footnote w:id="69">
    <w:p w14:paraId="6D6B4AAD"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293.</w:t>
      </w:r>
    </w:p>
  </w:footnote>
  <w:footnote w:id="70">
    <w:p w14:paraId="481CBA85" w14:textId="1B5C8D92"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At </w:t>
      </w:r>
      <w:r>
        <w:rPr>
          <w:rFonts w:eastAsia="Times New Roman" w:cs="Times New Roman"/>
          <w:szCs w:val="24"/>
          <w:lang w:val="en-GB" w:eastAsia="en-GB"/>
        </w:rPr>
        <w:t>para</w:t>
      </w:r>
      <w:r w:rsidRPr="007245E0">
        <w:rPr>
          <w:rFonts w:eastAsia="Times New Roman" w:cs="Times New Roman"/>
          <w:szCs w:val="24"/>
          <w:lang w:val="en-GB" w:eastAsia="en-GB"/>
        </w:rPr>
        <w:t xml:space="preserve"> 13.</w:t>
      </w:r>
    </w:p>
  </w:footnote>
  <w:footnote w:id="71">
    <w:p w14:paraId="112C5AE8" w14:textId="48AFDBE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At </w:t>
      </w:r>
      <w:r>
        <w:rPr>
          <w:rFonts w:eastAsia="Times New Roman" w:cs="Times New Roman"/>
          <w:szCs w:val="24"/>
          <w:lang w:val="en-GB" w:eastAsia="en-GB"/>
        </w:rPr>
        <w:t>paras</w:t>
      </w:r>
      <w:r w:rsidRPr="007245E0">
        <w:rPr>
          <w:rFonts w:eastAsia="Times New Roman" w:cs="Times New Roman"/>
          <w:szCs w:val="24"/>
          <w:lang w:val="en-GB" w:eastAsia="en-GB"/>
        </w:rPr>
        <w:t xml:space="preserve"> 15-17.</w:t>
      </w:r>
    </w:p>
  </w:footnote>
  <w:footnote w:id="72">
    <w:p w14:paraId="6DA840E8" w14:textId="77777777" w:rsidR="001B3AC6" w:rsidRPr="007245E0" w:rsidRDefault="001B3AC6" w:rsidP="00703DE4">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NWTSC 13.</w:t>
      </w:r>
    </w:p>
  </w:footnote>
  <w:footnote w:id="73">
    <w:p w14:paraId="6ACF012F" w14:textId="50E2C885" w:rsidR="001B3AC6" w:rsidRPr="007245E0" w:rsidRDefault="001B3AC6">
      <w:pPr>
        <w:pStyle w:val="FootnoteText"/>
        <w:rPr>
          <w:lang w:val="en-GB"/>
        </w:rPr>
      </w:pPr>
      <w:r w:rsidRPr="007245E0">
        <w:rPr>
          <w:rStyle w:val="FootnoteReference"/>
        </w:rPr>
        <w:footnoteRef/>
      </w:r>
      <w:r w:rsidRPr="007245E0">
        <w:t xml:space="preserve"> </w:t>
      </w:r>
      <w:r w:rsidR="008531FD">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50.</w:t>
      </w:r>
    </w:p>
  </w:footnote>
  <w:footnote w:id="74">
    <w:p w14:paraId="226D607C" w14:textId="7EACBA4F"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w:t>
      </w:r>
      <w:r w:rsidRPr="008044CE">
        <w:rPr>
          <w:rFonts w:eastAsia="Times New Roman" w:cs="Times New Roman"/>
          <w:iCs/>
          <w:szCs w:val="24"/>
          <w:lang w:val="en-GB" w:eastAsia="en-GB"/>
        </w:rPr>
        <w:t>e.g.</w:t>
      </w:r>
      <w:r w:rsidRPr="007245E0">
        <w:rPr>
          <w:rFonts w:eastAsia="Times New Roman" w:cs="Times New Roman"/>
          <w:i/>
          <w:iCs/>
          <w:szCs w:val="24"/>
          <w:lang w:val="en-GB" w:eastAsia="en-GB"/>
        </w:rPr>
        <w:t xml:space="preserve"> Canada </w:t>
      </w:r>
      <w:r>
        <w:rPr>
          <w:rFonts w:eastAsia="Times New Roman" w:cs="Times New Roman"/>
          <w:i/>
          <w:iCs/>
          <w:szCs w:val="24"/>
          <w:lang w:val="en-GB" w:eastAsia="en-GB"/>
        </w:rPr>
        <w:t>(AG) v</w:t>
      </w:r>
      <w:r w:rsidRPr="007245E0">
        <w:rPr>
          <w:rFonts w:eastAsia="Times New Roman" w:cs="Times New Roman"/>
          <w:i/>
          <w:iCs/>
          <w:szCs w:val="24"/>
          <w:lang w:val="en-GB" w:eastAsia="en-GB"/>
        </w:rPr>
        <w:t xml:space="preserve"> Honey Fashions Ltd.</w:t>
      </w:r>
      <w:r w:rsidRPr="007245E0">
        <w:rPr>
          <w:rFonts w:eastAsia="Times New Roman" w:cs="Times New Roman"/>
          <w:szCs w:val="24"/>
          <w:lang w:val="en-GB" w:eastAsia="en-GB"/>
        </w:rPr>
        <w:t>, 2020 FCA 64</w:t>
      </w:r>
      <w:r>
        <w:rPr>
          <w:rFonts w:eastAsia="Times New Roman" w:cs="Times New Roman"/>
          <w:szCs w:val="24"/>
          <w:lang w:val="en-GB" w:eastAsia="en-GB"/>
        </w:rPr>
        <w:t xml:space="preserve"> at para 38,</w:t>
      </w:r>
      <w:r w:rsidRPr="007245E0">
        <w:rPr>
          <w:rFonts w:eastAsia="Times New Roman" w:cs="Times New Roman"/>
          <w:i/>
          <w:iCs/>
          <w:szCs w:val="24"/>
          <w:lang w:val="en-GB" w:eastAsia="en-GB"/>
        </w:rPr>
        <w:t xml:space="preserve"> </w:t>
      </w:r>
      <w:r w:rsidRPr="007245E0">
        <w:rPr>
          <w:rFonts w:eastAsia="Times New Roman" w:cs="Times New Roman"/>
          <w:szCs w:val="24"/>
          <w:lang w:val="en-GB" w:eastAsia="en-GB"/>
        </w:rPr>
        <w:t>De Montigny JA.</w:t>
      </w:r>
    </w:p>
  </w:footnote>
  <w:footnote w:id="75">
    <w:p w14:paraId="591B4AFD" w14:textId="77777777" w:rsidR="001B3AC6" w:rsidRPr="007245E0" w:rsidRDefault="001B3AC6" w:rsidP="00703DE4">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ONCA 216.</w:t>
      </w:r>
    </w:p>
  </w:footnote>
  <w:footnote w:id="76">
    <w:p w14:paraId="0718B2DE" w14:textId="0AB607C6" w:rsidR="001B3AC6" w:rsidRPr="007245E0" w:rsidRDefault="001B3AC6">
      <w:pPr>
        <w:pStyle w:val="FootnoteText"/>
        <w:rPr>
          <w:i/>
          <w:lang w:val="en-GB"/>
        </w:rPr>
      </w:pPr>
      <w:r w:rsidRPr="007245E0">
        <w:rPr>
          <w:rStyle w:val="FootnoteReference"/>
        </w:rPr>
        <w:footnoteRef/>
      </w:r>
      <w:r w:rsidRPr="007245E0">
        <w:t xml:space="preserve"> </w:t>
      </w:r>
      <w:r w:rsidRPr="007245E0">
        <w:rPr>
          <w:lang w:val="en-GB"/>
        </w:rPr>
        <w:t xml:space="preserve">See </w:t>
      </w:r>
      <w:r w:rsidRPr="008044CE">
        <w:rPr>
          <w:lang w:val="en-GB"/>
        </w:rPr>
        <w:t>e.g.</w:t>
      </w:r>
      <w:r w:rsidRPr="007245E0">
        <w:rPr>
          <w:i/>
          <w:lang w:val="en-GB"/>
        </w:rPr>
        <w:t xml:space="preserve"> </w:t>
      </w:r>
      <w:r w:rsidRPr="007245E0">
        <w:rPr>
          <w:i/>
        </w:rPr>
        <w:t>Lake</w:t>
      </w:r>
      <w:r>
        <w:rPr>
          <w:i/>
        </w:rPr>
        <w:t xml:space="preserve"> v</w:t>
      </w:r>
      <w:r w:rsidRPr="007245E0">
        <w:rPr>
          <w:i/>
        </w:rPr>
        <w:t xml:space="preserve"> Canada (Minister of Justice)</w:t>
      </w:r>
      <w:r w:rsidRPr="007245E0">
        <w:t>, 2008 SCC 23, [2008] 1 SCR 761.</w:t>
      </w:r>
    </w:p>
  </w:footnote>
  <w:footnote w:id="77">
    <w:p w14:paraId="599291CA" w14:textId="4374563F"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29.</w:t>
      </w:r>
    </w:p>
  </w:footnote>
  <w:footnote w:id="78">
    <w:p w14:paraId="66EFD37D" w14:textId="77777777" w:rsidR="001B3AC6" w:rsidRPr="007245E0" w:rsidRDefault="001B3AC6" w:rsidP="00703DE4">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2012 SCC 70, [2012] 3 SCR 609.</w:t>
      </w:r>
    </w:p>
  </w:footnote>
  <w:footnote w:id="79">
    <w:p w14:paraId="19914BD6" w14:textId="611D77F1"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29.</w:t>
      </w:r>
    </w:p>
  </w:footnote>
  <w:footnote w:id="80">
    <w:p w14:paraId="76171A05" w14:textId="428F3636"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30.</w:t>
      </w:r>
    </w:p>
  </w:footnote>
  <w:footnote w:id="81">
    <w:p w14:paraId="6F4E2461" w14:textId="450D9628"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43</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20. See also </w:t>
      </w:r>
      <w:r w:rsidRPr="007245E0">
        <w:rPr>
          <w:rFonts w:eastAsia="Times New Roman" w:cs="Times New Roman"/>
          <w:i/>
          <w:iCs/>
          <w:szCs w:val="24"/>
          <w:lang w:val="en-GB" w:eastAsia="en-GB"/>
        </w:rPr>
        <w:t>Begum</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xml:space="preserve">, 2020 FC 162 (ministerial refusal to approve a provincially nominated visa application); </w:t>
      </w:r>
      <w:r w:rsidRPr="007245E0">
        <w:rPr>
          <w:rFonts w:eastAsia="Times New Roman" w:cs="Times New Roman"/>
          <w:i/>
          <w:iCs/>
          <w:szCs w:val="24"/>
          <w:lang w:val="en-GB" w:eastAsia="en-GB"/>
        </w:rPr>
        <w:t>Salmonid Association of Eastern Newfoundland</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Her Majesty the Queen in Right of Newfoundland and Labrador</w:t>
      </w:r>
      <w:r w:rsidRPr="007245E0">
        <w:rPr>
          <w:rFonts w:eastAsia="Times New Roman" w:cs="Times New Roman"/>
          <w:szCs w:val="24"/>
          <w:lang w:val="en-GB" w:eastAsia="en-GB"/>
        </w:rPr>
        <w:t>, 2020 NLSC 34</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64 (unjustifiable departure from previous decisions).</w:t>
      </w:r>
    </w:p>
  </w:footnote>
  <w:footnote w:id="82">
    <w:p w14:paraId="23D6931A" w14:textId="4DE758B2"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i/>
          <w:iCs/>
          <w:szCs w:val="24"/>
          <w:lang w:val="en-GB" w:eastAsia="en-GB"/>
        </w:rPr>
        <w:t>Mora Alcca</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236</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18; </w:t>
      </w:r>
      <w:r w:rsidRPr="007245E0">
        <w:rPr>
          <w:rFonts w:eastAsia="Times New Roman" w:cs="Times New Roman"/>
          <w:i/>
          <w:iCs/>
          <w:szCs w:val="24"/>
          <w:lang w:val="en-GB" w:eastAsia="en-GB"/>
        </w:rPr>
        <w:t>Demirtas</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302</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30; </w:t>
      </w:r>
      <w:r w:rsidRPr="007245E0">
        <w:rPr>
          <w:rFonts w:eastAsia="Times New Roman" w:cs="Times New Roman"/>
          <w:i/>
          <w:iCs/>
          <w:szCs w:val="24"/>
          <w:lang w:val="en-GB" w:eastAsia="en-GB"/>
        </w:rPr>
        <w:t>Chikadze</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306</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22; </w:t>
      </w:r>
      <w:r w:rsidRPr="007245E0">
        <w:rPr>
          <w:rFonts w:eastAsia="Times New Roman" w:cs="Times New Roman"/>
          <w:i/>
          <w:iCs/>
          <w:szCs w:val="24"/>
          <w:lang w:val="en-GB" w:eastAsia="en-GB"/>
        </w:rPr>
        <w:t>Lopez Bidart</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307</w:t>
      </w:r>
      <w:r>
        <w:rPr>
          <w:rFonts w:eastAsia="Times New Roman" w:cs="Times New Roman"/>
          <w:szCs w:val="24"/>
          <w:lang w:val="en-GB" w:eastAsia="en-GB"/>
        </w:rPr>
        <w:t xml:space="preserve"> at para 30;</w:t>
      </w:r>
      <w:r w:rsidRPr="007245E0">
        <w:rPr>
          <w:rFonts w:eastAsia="Times New Roman" w:cs="Times New Roman"/>
          <w:szCs w:val="24"/>
          <w:lang w:val="en-GB" w:eastAsia="en-GB"/>
        </w:rPr>
        <w:t xml:space="preserve"> </w:t>
      </w:r>
      <w:r w:rsidRPr="007245E0">
        <w:rPr>
          <w:rFonts w:eastAsia="Times New Roman" w:cs="Times New Roman"/>
          <w:i/>
          <w:iCs/>
          <w:szCs w:val="24"/>
          <w:lang w:val="en-GB" w:eastAsia="en-GB"/>
        </w:rPr>
        <w:t>Haile</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375</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25-26.</w:t>
      </w:r>
    </w:p>
  </w:footnote>
  <w:footnote w:id="83">
    <w:p w14:paraId="79D61BA4" w14:textId="7726B392"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i/>
          <w:iCs/>
          <w:szCs w:val="24"/>
          <w:lang w:val="en-GB" w:eastAsia="en-GB"/>
        </w:rPr>
        <w:t>Canada (Public Safety and Emergency Preparedness)</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Taino</w:t>
      </w:r>
      <w:r w:rsidRPr="007245E0">
        <w:rPr>
          <w:rFonts w:eastAsia="Times New Roman" w:cs="Times New Roman"/>
          <w:szCs w:val="24"/>
          <w:lang w:val="en-GB" w:eastAsia="en-GB"/>
        </w:rPr>
        <w:t>, 2020 FC 427</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80.</w:t>
      </w:r>
    </w:p>
  </w:footnote>
  <w:footnote w:id="84">
    <w:p w14:paraId="25EF628F" w14:textId="3058CB53" w:rsidR="001B3AC6" w:rsidRPr="007245E0" w:rsidRDefault="001B3AC6">
      <w:pPr>
        <w:pStyle w:val="FootnoteText"/>
        <w:rPr>
          <w:lang w:val="fr-CA"/>
        </w:rPr>
      </w:pPr>
      <w:r w:rsidRPr="007245E0">
        <w:rPr>
          <w:rStyle w:val="FootnoteReference"/>
        </w:rPr>
        <w:footnoteRef/>
      </w:r>
      <w:r w:rsidRPr="007245E0">
        <w:rPr>
          <w:lang w:val="fr-CA"/>
        </w:rPr>
        <w:t xml:space="preserve"> </w:t>
      </w:r>
      <w:r>
        <w:rPr>
          <w:rFonts w:eastAsia="Times New Roman" w:cs="Times New Roman"/>
          <w:i/>
          <w:iCs/>
          <w:szCs w:val="24"/>
          <w:lang w:val="fr-CA" w:eastAsia="en-GB"/>
        </w:rPr>
        <w:t>Cousineau c</w:t>
      </w:r>
      <w:r w:rsidRPr="007245E0">
        <w:rPr>
          <w:rFonts w:eastAsia="Times New Roman" w:cs="Times New Roman"/>
          <w:i/>
          <w:iCs/>
          <w:szCs w:val="24"/>
          <w:lang w:val="fr-CA" w:eastAsia="en-GB"/>
        </w:rPr>
        <w:t xml:space="preserve"> Commission de protection du territoire agricole du Québec</w:t>
      </w:r>
      <w:r w:rsidRPr="007245E0">
        <w:rPr>
          <w:rFonts w:eastAsia="Times New Roman" w:cs="Times New Roman"/>
          <w:szCs w:val="24"/>
          <w:lang w:val="fr-CA" w:eastAsia="en-GB"/>
        </w:rPr>
        <w:t>, 2020 QCCS 900.</w:t>
      </w:r>
    </w:p>
  </w:footnote>
  <w:footnote w:id="85">
    <w:p w14:paraId="6BA4C4B7" w14:textId="5229F36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188</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22.</w:t>
      </w:r>
    </w:p>
  </w:footnote>
  <w:footnote w:id="86">
    <w:p w14:paraId="2B1B863C" w14:textId="1D0169E3"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i/>
          <w:iCs/>
          <w:szCs w:val="24"/>
          <w:lang w:val="en-GB" w:eastAsia="en-GB"/>
        </w:rPr>
        <w:t>Radzevicius</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Workplace Safety and Insurance Appeals Tribunal</w:t>
      </w:r>
      <w:hyperlink r:id="rId7" w:history="1">
        <w:r w:rsidRPr="007245E0">
          <w:rPr>
            <w:rFonts w:eastAsia="Times New Roman" w:cs="Times New Roman"/>
            <w:szCs w:val="24"/>
            <w:lang w:val="en-GB" w:eastAsia="en-GB"/>
          </w:rPr>
          <w:t>, 2020 ONSC 319</w:t>
        </w:r>
      </w:hyperlink>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57,</w:t>
      </w:r>
      <w:r>
        <w:rPr>
          <w:rFonts w:eastAsia="Times New Roman" w:cs="Times New Roman"/>
          <w:szCs w:val="24"/>
          <w:lang w:val="en-GB" w:eastAsia="en-GB"/>
        </w:rPr>
        <w:t xml:space="preserve"> </w:t>
      </w:r>
      <w:r w:rsidRPr="007245E0">
        <w:rPr>
          <w:rFonts w:eastAsia="Times New Roman" w:cs="Times New Roman"/>
          <w:szCs w:val="24"/>
          <w:lang w:val="en-GB" w:eastAsia="en-GB"/>
        </w:rPr>
        <w:t xml:space="preserve">Swinton J. See also </w:t>
      </w:r>
      <w:r w:rsidRPr="007245E0">
        <w:rPr>
          <w:rFonts w:eastAsia="Times New Roman" w:cs="Times New Roman"/>
          <w:i/>
          <w:iCs/>
          <w:szCs w:val="24"/>
          <w:lang w:val="en-GB" w:eastAsia="en-GB"/>
        </w:rPr>
        <w:t>Hildebrand v Penticton (City)</w:t>
      </w:r>
      <w:r w:rsidRPr="007245E0">
        <w:rPr>
          <w:rFonts w:eastAsia="Times New Roman" w:cs="Times New Roman"/>
          <w:szCs w:val="24"/>
          <w:lang w:val="en-GB" w:eastAsia="en-GB"/>
        </w:rPr>
        <w:t>, 2020 BCSC 353</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26.</w:t>
      </w:r>
    </w:p>
  </w:footnote>
  <w:footnote w:id="87">
    <w:p w14:paraId="59F9790C" w14:textId="14DC59BB" w:rsidR="001B3AC6" w:rsidRPr="007245E0" w:rsidRDefault="001B3AC6">
      <w:pPr>
        <w:pStyle w:val="FootnoteText"/>
        <w:rPr>
          <w:lang w:val="en-GB"/>
        </w:rPr>
      </w:pPr>
      <w:r w:rsidRPr="007245E0">
        <w:rPr>
          <w:rStyle w:val="FootnoteReference"/>
        </w:rPr>
        <w:footnoteRef/>
      </w:r>
      <w:r w:rsidRPr="007245E0">
        <w:t xml:space="preserve"> </w:t>
      </w:r>
      <w:r w:rsidRPr="007245E0">
        <w:rPr>
          <w:i/>
          <w:lang w:val="en-GB"/>
        </w:rPr>
        <w:t>Vavilov</w:t>
      </w:r>
      <w:r>
        <w:rPr>
          <w:lang w:val="en-GB"/>
        </w:rPr>
        <w:t xml:space="preserve"> at paras</w:t>
      </w:r>
      <w:r w:rsidRPr="007245E0">
        <w:rPr>
          <w:lang w:val="en-GB"/>
        </w:rPr>
        <w:t xml:space="preserve"> 136-138.</w:t>
      </w:r>
    </w:p>
  </w:footnote>
  <w:footnote w:id="88">
    <w:p w14:paraId="52A5A59D" w14:textId="7B08F8D2" w:rsidR="001B3AC6" w:rsidRPr="007245E0" w:rsidRDefault="001B3AC6" w:rsidP="00B35F8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BCCA 101</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88.</w:t>
      </w:r>
    </w:p>
  </w:footnote>
  <w:footnote w:id="89">
    <w:p w14:paraId="37CF5339" w14:textId="54682D09"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Contrast the relatively intensive review undertaken in </w:t>
      </w:r>
      <w:r w:rsidRPr="007245E0">
        <w:rPr>
          <w:rFonts w:eastAsia="Times New Roman" w:cs="Times New Roman"/>
          <w:i/>
          <w:iCs/>
          <w:szCs w:val="24"/>
          <w:lang w:val="en-GB" w:eastAsia="en-GB"/>
        </w:rPr>
        <w:t>Minster Enterprises Ltd v City of Richmond</w:t>
      </w:r>
      <w:r w:rsidRPr="007245E0">
        <w:rPr>
          <w:rFonts w:eastAsia="Times New Roman" w:cs="Times New Roman"/>
          <w:szCs w:val="24"/>
          <w:lang w:val="en-GB" w:eastAsia="en-GB"/>
        </w:rPr>
        <w:t xml:space="preserve">, 2020 BCSC 455, especially at </w:t>
      </w:r>
      <w:r>
        <w:rPr>
          <w:rFonts w:eastAsia="Times New Roman" w:cs="Times New Roman"/>
          <w:szCs w:val="24"/>
          <w:lang w:val="en-GB" w:eastAsia="en-GB"/>
        </w:rPr>
        <w:t>paras</w:t>
      </w:r>
      <w:r w:rsidRPr="007245E0">
        <w:rPr>
          <w:rFonts w:eastAsia="Times New Roman" w:cs="Times New Roman"/>
          <w:szCs w:val="24"/>
          <w:lang w:val="en-GB" w:eastAsia="en-GB"/>
        </w:rPr>
        <w:t xml:space="preserve"> 114-118, where Crerar J rejected the suggestion that the City’s policies could expand the meaning of a by</w:t>
      </w:r>
      <w:r w:rsidR="008531FD">
        <w:rPr>
          <w:rFonts w:eastAsia="Times New Roman" w:cs="Times New Roman"/>
          <w:szCs w:val="24"/>
          <w:lang w:val="en-GB" w:eastAsia="en-GB"/>
        </w:rPr>
        <w:t>-</w:t>
      </w:r>
      <w:r w:rsidRPr="007245E0">
        <w:rPr>
          <w:rFonts w:eastAsia="Times New Roman" w:cs="Times New Roman"/>
          <w:szCs w:val="24"/>
          <w:lang w:val="en-GB" w:eastAsia="en-GB"/>
        </w:rPr>
        <w:t xml:space="preserve">law relating to building construction; and in </w:t>
      </w:r>
      <w:r w:rsidRPr="007245E0">
        <w:rPr>
          <w:rFonts w:eastAsia="Times New Roman" w:cs="Times New Roman"/>
          <w:i/>
          <w:iCs/>
          <w:szCs w:val="24"/>
          <w:lang w:val="en-GB" w:eastAsia="en-GB"/>
        </w:rPr>
        <w:t>Canadian Natural Resources Limited v Elizabeth Métis Settlement</w:t>
      </w:r>
      <w:r w:rsidRPr="007245E0">
        <w:rPr>
          <w:rFonts w:eastAsia="Times New Roman" w:cs="Times New Roman"/>
          <w:szCs w:val="24"/>
          <w:lang w:val="en-GB" w:eastAsia="en-GB"/>
        </w:rPr>
        <w:t>, 2020 ABQB 210.</w:t>
      </w:r>
    </w:p>
  </w:footnote>
  <w:footnote w:id="90">
    <w:p w14:paraId="27B88DB9" w14:textId="735A31AA"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See</w:t>
      </w:r>
      <w:r w:rsidRPr="008531FD">
        <w:rPr>
          <w:rFonts w:eastAsia="Times New Roman" w:cs="Times New Roman"/>
          <w:szCs w:val="24"/>
          <w:lang w:val="en-GB" w:eastAsia="en-GB"/>
        </w:rPr>
        <w:t xml:space="preserve"> </w:t>
      </w:r>
      <w:r w:rsidRPr="00F33F82">
        <w:rPr>
          <w:rFonts w:eastAsia="Times New Roman" w:cs="Times New Roman"/>
          <w:szCs w:val="24"/>
          <w:lang w:val="en-GB" w:eastAsia="en-GB"/>
        </w:rPr>
        <w:t xml:space="preserve">e.g. </w:t>
      </w:r>
      <w:r w:rsidRPr="007245E0">
        <w:rPr>
          <w:rFonts w:eastAsia="Times New Roman" w:cs="Times New Roman"/>
          <w:i/>
          <w:iCs/>
          <w:szCs w:val="24"/>
          <w:lang w:val="en-GB" w:eastAsia="en-GB"/>
        </w:rPr>
        <w:t>GSR Capital Group Inc v The City of White Rock</w:t>
      </w:r>
      <w:r w:rsidRPr="007245E0">
        <w:rPr>
          <w:rFonts w:eastAsia="Times New Roman" w:cs="Times New Roman"/>
          <w:szCs w:val="24"/>
          <w:lang w:val="en-GB" w:eastAsia="en-GB"/>
        </w:rPr>
        <w:t>, 2020 BCSC 489</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107-114 and 139.</w:t>
      </w:r>
    </w:p>
  </w:footnote>
  <w:footnote w:id="91">
    <w:p w14:paraId="6E21A7C7" w14:textId="63DD2B99"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ABCA 71</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11.</w:t>
      </w:r>
    </w:p>
  </w:footnote>
  <w:footnote w:id="92">
    <w:p w14:paraId="1C2E78A1" w14:textId="36DE6E24"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51.</w:t>
      </w:r>
    </w:p>
  </w:footnote>
  <w:footnote w:id="93">
    <w:p w14:paraId="3DD66B5D" w14:textId="00F94E6A"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BCSC 474</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47.</w:t>
      </w:r>
    </w:p>
  </w:footnote>
  <w:footnote w:id="94">
    <w:p w14:paraId="65E1B56F" w14:textId="7741E097"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50.</w:t>
      </w:r>
    </w:p>
  </w:footnote>
  <w:footnote w:id="95">
    <w:p w14:paraId="1EFA5DAF" w14:textId="355207E1"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53.</w:t>
      </w:r>
    </w:p>
  </w:footnote>
  <w:footnote w:id="96">
    <w:p w14:paraId="05E8CDCE" w14:textId="07F2C4CA"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QCCA 407</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43-44.</w:t>
      </w:r>
    </w:p>
  </w:footnote>
  <w:footnote w:id="97">
    <w:p w14:paraId="4F2C1966" w14:textId="07742E83"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also </w:t>
      </w:r>
      <w:r w:rsidRPr="007245E0">
        <w:rPr>
          <w:rFonts w:eastAsia="Times New Roman" w:cs="Times New Roman"/>
          <w:i/>
          <w:iCs/>
          <w:szCs w:val="24"/>
          <w:lang w:val="en-GB" w:eastAsia="en-GB"/>
        </w:rPr>
        <w:t>Sipekne’katik</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Alton Natural Gas Storage LP</w:t>
      </w:r>
      <w:r w:rsidRPr="007245E0">
        <w:rPr>
          <w:rFonts w:eastAsia="Times New Roman" w:cs="Times New Roman"/>
          <w:szCs w:val="24"/>
          <w:lang w:val="en-GB" w:eastAsia="en-GB"/>
        </w:rPr>
        <w:t xml:space="preserve">, 2020 NSSC 111, especially at </w:t>
      </w:r>
      <w:r>
        <w:rPr>
          <w:rFonts w:eastAsia="Times New Roman" w:cs="Times New Roman"/>
          <w:szCs w:val="24"/>
          <w:lang w:val="en-GB" w:eastAsia="en-GB"/>
        </w:rPr>
        <w:t>para</w:t>
      </w:r>
      <w:r w:rsidRPr="007245E0">
        <w:rPr>
          <w:rFonts w:eastAsia="Times New Roman" w:cs="Times New Roman"/>
          <w:szCs w:val="24"/>
          <w:lang w:val="en-GB" w:eastAsia="en-GB"/>
        </w:rPr>
        <w:t xml:space="preserve"> 152, </w:t>
      </w:r>
      <w:r>
        <w:rPr>
          <w:rFonts w:eastAsia="Times New Roman" w:cs="Times New Roman"/>
          <w:szCs w:val="24"/>
          <w:lang w:val="en-GB" w:eastAsia="en-GB"/>
        </w:rPr>
        <w:t xml:space="preserve">for </w:t>
      </w:r>
      <w:r w:rsidRPr="007245E0">
        <w:rPr>
          <w:rFonts w:eastAsia="Times New Roman" w:cs="Times New Roman"/>
          <w:szCs w:val="24"/>
          <w:lang w:val="en-GB" w:eastAsia="en-GB"/>
        </w:rPr>
        <w:t>an appeal where failure to engage with a duty to consult issue amounted to a palpable and overriding error.</w:t>
      </w:r>
    </w:p>
  </w:footnote>
  <w:footnote w:id="98">
    <w:p w14:paraId="69D7356B"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lang w:val="en-GB"/>
        </w:rPr>
        <w:t>2020 FCA 20.</w:t>
      </w:r>
    </w:p>
  </w:footnote>
  <w:footnote w:id="99">
    <w:p w14:paraId="00294223" w14:textId="0F2902C0"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46.</w:t>
      </w:r>
    </w:p>
  </w:footnote>
  <w:footnote w:id="100">
    <w:p w14:paraId="49DADA48" w14:textId="335B4B34"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48.</w:t>
      </w:r>
    </w:p>
  </w:footnote>
  <w:footnote w:id="101">
    <w:p w14:paraId="6BF4E461" w14:textId="5060E05B"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At</w:t>
      </w:r>
      <w:r w:rsidRPr="007245E0">
        <w:rPr>
          <w:rFonts w:eastAsia="Times New Roman" w:cs="Times New Roman"/>
          <w:szCs w:val="24"/>
          <w:lang w:val="en-GB" w:eastAsia="en-GB"/>
        </w:rPr>
        <w:t xml:space="preserve"> </w:t>
      </w:r>
      <w:r>
        <w:rPr>
          <w:rFonts w:eastAsia="Times New Roman" w:cs="Times New Roman"/>
          <w:szCs w:val="24"/>
          <w:lang w:val="en-GB" w:eastAsia="en-GB"/>
        </w:rPr>
        <w:t>para</w:t>
      </w:r>
      <w:r w:rsidRPr="007245E0">
        <w:rPr>
          <w:rFonts w:eastAsia="Times New Roman" w:cs="Times New Roman"/>
          <w:szCs w:val="24"/>
          <w:lang w:val="en-GB" w:eastAsia="en-GB"/>
        </w:rPr>
        <w:t xml:space="preserve"> 49.</w:t>
      </w:r>
    </w:p>
  </w:footnote>
  <w:footnote w:id="102">
    <w:p w14:paraId="5DFF9256" w14:textId="2F8BF46D" w:rsidR="008531FD" w:rsidRPr="007245E0" w:rsidRDefault="008531FD" w:rsidP="008531FD">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54.</w:t>
      </w:r>
    </w:p>
  </w:footnote>
  <w:footnote w:id="103">
    <w:p w14:paraId="3646276B" w14:textId="7CB2AD20"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NLSC 34</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74.</w:t>
      </w:r>
    </w:p>
  </w:footnote>
  <w:footnote w:id="104">
    <w:p w14:paraId="3C62F343" w14:textId="786C5A7C"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FC 397</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34-35.</w:t>
      </w:r>
    </w:p>
  </w:footnote>
  <w:footnote w:id="105">
    <w:p w14:paraId="3B1B1E71" w14:textId="5E21E64B"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For a similar approach, almost demanding panoptic qualities on the part of an administrative decision-maker, see </w:t>
      </w:r>
      <w:r w:rsidRPr="007245E0">
        <w:rPr>
          <w:rFonts w:eastAsia="Times New Roman" w:cs="Times New Roman"/>
          <w:i/>
          <w:iCs/>
          <w:szCs w:val="24"/>
          <w:lang w:val="en-GB" w:eastAsia="en-GB"/>
        </w:rPr>
        <w:t>Beals</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Nova Scotia </w:t>
      </w:r>
      <w:r>
        <w:rPr>
          <w:rFonts w:eastAsia="Times New Roman" w:cs="Times New Roman"/>
          <w:i/>
          <w:iCs/>
          <w:szCs w:val="24"/>
          <w:lang w:val="en-GB" w:eastAsia="en-GB"/>
        </w:rPr>
        <w:t>(AG)</w:t>
      </w:r>
      <w:r w:rsidRPr="007245E0">
        <w:rPr>
          <w:rFonts w:eastAsia="Times New Roman" w:cs="Times New Roman"/>
          <w:szCs w:val="24"/>
          <w:lang w:val="en-GB" w:eastAsia="en-GB"/>
        </w:rPr>
        <w:t>, 2020 NSSC 60</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32: “the legislature and applicants</w:t>
      </w:r>
      <w:r w:rsidR="008531FD">
        <w:rPr>
          <w:rFonts w:eastAsia="Times New Roman" w:cs="Times New Roman"/>
          <w:szCs w:val="24"/>
          <w:lang w:val="en-GB" w:eastAsia="en-GB"/>
        </w:rPr>
        <w:t xml:space="preserve"> … </w:t>
      </w:r>
      <w:r w:rsidRPr="007245E0">
        <w:rPr>
          <w:rFonts w:eastAsia="Times New Roman" w:cs="Times New Roman"/>
          <w:szCs w:val="24"/>
          <w:lang w:val="en-GB" w:eastAsia="en-GB"/>
        </w:rPr>
        <w:t>are entitled to presume that the person making a decision about an application under [legislation] knows the occasion and necessity for the enactment, the circumstances existing at the time it was passed, the mischief to be remedied, and the object to be attained, without that information necessarily appearing in the record</w:t>
      </w:r>
      <w:r>
        <w:rPr>
          <w:rFonts w:eastAsia="Times New Roman" w:cs="Times New Roman"/>
          <w:szCs w:val="24"/>
          <w:lang w:val="en-GB" w:eastAsia="en-GB"/>
        </w:rPr>
        <w:t>.”</w:t>
      </w:r>
    </w:p>
  </w:footnote>
  <w:footnote w:id="106">
    <w:p w14:paraId="1A6BAB5F" w14:textId="77777777" w:rsidR="001B3AC6" w:rsidRPr="007245E0" w:rsidRDefault="001B3AC6" w:rsidP="00B35F8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BCSC 384.</w:t>
      </w:r>
    </w:p>
  </w:footnote>
  <w:footnote w:id="107">
    <w:p w14:paraId="2F9A1894" w14:textId="558CA589"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33.</w:t>
      </w:r>
    </w:p>
  </w:footnote>
  <w:footnote w:id="108">
    <w:p w14:paraId="45ADC107"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BCSC 380.</w:t>
      </w:r>
    </w:p>
  </w:footnote>
  <w:footnote w:id="109">
    <w:p w14:paraId="35D30C86" w14:textId="125FFDBA" w:rsidR="001B3AC6" w:rsidRPr="007245E0" w:rsidRDefault="001B3AC6">
      <w:pPr>
        <w:pStyle w:val="FootnoteText"/>
        <w:rPr>
          <w:lang w:val="en-GB"/>
        </w:rPr>
      </w:pPr>
      <w:r w:rsidRPr="007245E0">
        <w:rPr>
          <w:rStyle w:val="FootnoteReference"/>
        </w:rPr>
        <w:footnoteRef/>
      </w:r>
      <w:r w:rsidRPr="007245E0">
        <w:t xml:space="preserve"> </w:t>
      </w:r>
      <w:r w:rsidRPr="007245E0">
        <w:rPr>
          <w:lang w:val="en-GB"/>
        </w:rPr>
        <w:t xml:space="preserve">See also the detailed discussion of this issue in Paul Daly, </w:t>
      </w:r>
      <w:r w:rsidRPr="007245E0">
        <w:rPr>
          <w:rFonts w:cs="Times New Roman"/>
          <w:lang w:eastAsia="en-CA"/>
        </w:rPr>
        <w:t xml:space="preserve">“Canada’s Bi-Polar Administrative </w:t>
      </w:r>
      <w:r>
        <w:rPr>
          <w:rFonts w:cs="Times New Roman"/>
          <w:lang w:eastAsia="en-CA"/>
        </w:rPr>
        <w:t>Law: Time for Fusion” (2014) 40:1</w:t>
      </w:r>
      <w:r w:rsidRPr="007245E0">
        <w:rPr>
          <w:rFonts w:cs="Times New Roman"/>
          <w:lang w:eastAsia="en-CA"/>
        </w:rPr>
        <w:t xml:space="preserve"> </w:t>
      </w:r>
      <w:r w:rsidRPr="008044CE">
        <w:rPr>
          <w:rFonts w:cs="Times New Roman"/>
          <w:lang w:eastAsia="en-CA"/>
        </w:rPr>
        <w:t>Queen’s LJ</w:t>
      </w:r>
      <w:r w:rsidRPr="007245E0">
        <w:rPr>
          <w:rFonts w:cs="Times New Roman"/>
          <w:lang w:eastAsia="en-CA"/>
        </w:rPr>
        <w:t xml:space="preserve"> 213.</w:t>
      </w:r>
    </w:p>
  </w:footnote>
  <w:footnote w:id="110">
    <w:p w14:paraId="7C94487E" w14:textId="0E73D6A3" w:rsidR="001B3AC6" w:rsidRPr="007245E0" w:rsidRDefault="001B3AC6" w:rsidP="00B35F8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RSO 1990, c h-19, s</w:t>
      </w:r>
      <w:r w:rsidRPr="007245E0">
        <w:rPr>
          <w:rFonts w:eastAsia="Times New Roman" w:cs="Times New Roman"/>
          <w:szCs w:val="24"/>
          <w:lang w:val="en-GB" w:eastAsia="en-GB"/>
        </w:rPr>
        <w:t xml:space="preserve"> 45.8.</w:t>
      </w:r>
    </w:p>
  </w:footnote>
  <w:footnote w:id="111">
    <w:p w14:paraId="5FAE057A" w14:textId="0633E47F"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ONSC 1632</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30-38.</w:t>
      </w:r>
    </w:p>
  </w:footnote>
  <w:footnote w:id="112">
    <w:p w14:paraId="32151554"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2020 ABQB 273.</w:t>
      </w:r>
    </w:p>
  </w:footnote>
  <w:footnote w:id="113">
    <w:p w14:paraId="6DE00297" w14:textId="77777777" w:rsidR="001B3AC6" w:rsidRPr="007245E0" w:rsidRDefault="001B3AC6" w:rsidP="00B35F8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RSA 2000, c M-26.</w:t>
      </w:r>
    </w:p>
  </w:footnote>
  <w:footnote w:id="114">
    <w:p w14:paraId="45D05B35"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2019 ABQB 508.</w:t>
      </w:r>
    </w:p>
  </w:footnote>
  <w:footnote w:id="115">
    <w:p w14:paraId="6547DFEF" w14:textId="0FD18640"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13.</w:t>
      </w:r>
    </w:p>
  </w:footnote>
  <w:footnote w:id="116">
    <w:p w14:paraId="1166D24E" w14:textId="572683CF" w:rsidR="001B3AC6" w:rsidRPr="007245E0" w:rsidRDefault="001B3AC6">
      <w:pPr>
        <w:pStyle w:val="FootnoteText"/>
        <w:rPr>
          <w:lang w:val="en-GB"/>
        </w:rPr>
      </w:pPr>
      <w:r w:rsidRPr="007245E0">
        <w:rPr>
          <w:rStyle w:val="FootnoteReference"/>
        </w:rPr>
        <w:footnoteRef/>
      </w:r>
      <w:r w:rsidRPr="007245E0">
        <w:t xml:space="preserve"> </w:t>
      </w:r>
      <w:r w:rsidRPr="007245E0">
        <w:rPr>
          <w:i/>
          <w:lang w:val="en-GB"/>
        </w:rPr>
        <w:t>Vavilov</w:t>
      </w:r>
      <w:r>
        <w:rPr>
          <w:lang w:val="en-GB"/>
        </w:rPr>
        <w:t xml:space="preserve"> at para</w:t>
      </w:r>
      <w:r w:rsidRPr="007245E0">
        <w:rPr>
          <w:rFonts w:eastAsia="Times New Roman" w:cs="Times New Roman"/>
          <w:szCs w:val="24"/>
          <w:lang w:val="en-GB" w:eastAsia="en-GB"/>
        </w:rPr>
        <w:t xml:space="preserve"> 110.</w:t>
      </w:r>
    </w:p>
  </w:footnote>
  <w:footnote w:id="117">
    <w:p w14:paraId="309EC531" w14:textId="77777777" w:rsidR="001B3AC6" w:rsidRPr="007245E0" w:rsidRDefault="001B3AC6">
      <w:pPr>
        <w:pStyle w:val="FootnoteText"/>
      </w:pPr>
      <w:r w:rsidRPr="007245E0">
        <w:rPr>
          <w:rStyle w:val="FootnoteReference"/>
        </w:rPr>
        <w:footnoteRef/>
      </w:r>
      <w:r w:rsidRPr="007245E0">
        <w:t xml:space="preserve"> </w:t>
      </w:r>
      <w:r w:rsidRPr="007245E0">
        <w:rPr>
          <w:lang w:val="en-GB"/>
        </w:rPr>
        <w:t xml:space="preserve">See David Mullan, </w:t>
      </w:r>
      <w:r w:rsidRPr="007245E0">
        <w:t xml:space="preserve">“Judicial Scrutiny of Administrative Decision Making: Principled Simplification or Continuing Angst?” (2020) 50 </w:t>
      </w:r>
      <w:r w:rsidRPr="008044CE">
        <w:t xml:space="preserve">Advocates’ Quarterly </w:t>
      </w:r>
      <w:r w:rsidRPr="007245E0">
        <w:t>42.</w:t>
      </w:r>
    </w:p>
  </w:footnote>
  <w:footnote w:id="118">
    <w:p w14:paraId="55FFADE2" w14:textId="7B9B8851"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 xml:space="preserve">at </w:t>
      </w:r>
      <w:r>
        <w:rPr>
          <w:rFonts w:eastAsia="Times New Roman" w:cs="Times New Roman"/>
          <w:szCs w:val="24"/>
          <w:lang w:val="en-GB" w:eastAsia="en-GB"/>
        </w:rPr>
        <w:t>para</w:t>
      </w:r>
      <w:r w:rsidRPr="007245E0">
        <w:rPr>
          <w:rFonts w:eastAsia="Times New Roman" w:cs="Times New Roman"/>
          <w:szCs w:val="24"/>
          <w:lang w:val="en-GB" w:eastAsia="en-GB"/>
        </w:rPr>
        <w:t xml:space="preserve"> 142.</w:t>
      </w:r>
    </w:p>
  </w:footnote>
  <w:footnote w:id="119">
    <w:p w14:paraId="4CBEA313" w14:textId="77777777"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2019 ONCA 1025.</w:t>
      </w:r>
    </w:p>
  </w:footnote>
  <w:footnote w:id="120">
    <w:p w14:paraId="4882DFED" w14:textId="18C98FC0"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37.</w:t>
      </w:r>
    </w:p>
  </w:footnote>
  <w:footnote w:id="121">
    <w:p w14:paraId="5FD560A3" w14:textId="30A7BD52" w:rsidR="001B3AC6" w:rsidRPr="007245E0" w:rsidRDefault="001B3AC6">
      <w:pPr>
        <w:pStyle w:val="FootnoteText"/>
        <w:rPr>
          <w:lang w:val="en-GB"/>
        </w:rPr>
      </w:pPr>
      <w:r w:rsidRPr="007245E0">
        <w:rPr>
          <w:rStyle w:val="FootnoteReference"/>
        </w:rPr>
        <w:footnoteRef/>
      </w:r>
      <w:r w:rsidRPr="007245E0">
        <w:t xml:space="preserve"> </w:t>
      </w:r>
      <w:r w:rsidRPr="007245E0">
        <w:rPr>
          <w:i/>
        </w:rPr>
        <w:t>Langenfeld</w:t>
      </w:r>
      <w:r>
        <w:rPr>
          <w:i/>
        </w:rPr>
        <w:t xml:space="preserve"> v</w:t>
      </w:r>
      <w:r w:rsidRPr="007245E0">
        <w:rPr>
          <w:i/>
        </w:rPr>
        <w:t xml:space="preserve"> Toronto Police Services Board</w:t>
      </w:r>
      <w:r w:rsidRPr="007245E0">
        <w:t>, 2019 ONCA 716.</w:t>
      </w:r>
    </w:p>
  </w:footnote>
  <w:footnote w:id="122">
    <w:p w14:paraId="17E92961" w14:textId="079C8A33"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58.</w:t>
      </w:r>
    </w:p>
  </w:footnote>
  <w:footnote w:id="123">
    <w:p w14:paraId="66E531BF" w14:textId="1B6E8B04"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79.</w:t>
      </w:r>
    </w:p>
  </w:footnote>
  <w:footnote w:id="124">
    <w:p w14:paraId="01B25F7B" w14:textId="7AD7CCAD" w:rsidR="001B3AC6" w:rsidRPr="007245E0" w:rsidRDefault="001B3AC6">
      <w:pPr>
        <w:pStyle w:val="FootnoteText"/>
        <w:rPr>
          <w:lang w:val="en-GB"/>
        </w:rPr>
      </w:pPr>
      <w:r w:rsidRPr="007245E0">
        <w:rPr>
          <w:rStyle w:val="FootnoteReference"/>
        </w:rPr>
        <w:footnoteRef/>
      </w:r>
      <w:r w:rsidRPr="007245E0">
        <w:t xml:space="preserve"> </w:t>
      </w:r>
      <w:r>
        <w:rPr>
          <w:rFonts w:eastAsia="Times New Roman" w:cs="Times New Roman"/>
          <w:szCs w:val="24"/>
          <w:lang w:val="en-GB" w:eastAsia="en-GB"/>
        </w:rPr>
        <w:t>A</w:t>
      </w:r>
      <w:r w:rsidRPr="007245E0">
        <w:rPr>
          <w:rFonts w:eastAsia="Times New Roman" w:cs="Times New Roman"/>
          <w:szCs w:val="24"/>
          <w:lang w:val="en-GB" w:eastAsia="en-GB"/>
        </w:rPr>
        <w:t xml:space="preserve">t </w:t>
      </w:r>
      <w:r>
        <w:rPr>
          <w:rFonts w:eastAsia="Times New Roman" w:cs="Times New Roman"/>
          <w:szCs w:val="24"/>
          <w:lang w:val="en-GB" w:eastAsia="en-GB"/>
        </w:rPr>
        <w:t>para</w:t>
      </w:r>
      <w:r w:rsidRPr="007245E0">
        <w:rPr>
          <w:rFonts w:eastAsia="Times New Roman" w:cs="Times New Roman"/>
          <w:szCs w:val="24"/>
          <w:lang w:val="en-GB" w:eastAsia="en-GB"/>
        </w:rPr>
        <w:t xml:space="preserve"> 80.</w:t>
      </w:r>
    </w:p>
  </w:footnote>
  <w:footnote w:id="125">
    <w:p w14:paraId="3305A529" w14:textId="1603DD55" w:rsidR="001B3AC6" w:rsidRPr="007245E0" w:rsidRDefault="001B3AC6">
      <w:pPr>
        <w:pStyle w:val="FootnoteText"/>
        <w:rPr>
          <w:lang w:val="en-GB"/>
        </w:rPr>
      </w:pPr>
      <w:r w:rsidRPr="007245E0">
        <w:rPr>
          <w:rStyle w:val="FootnoteReference"/>
        </w:rPr>
        <w:footnoteRef/>
      </w:r>
      <w:r w:rsidRPr="007245E0">
        <w:t xml:space="preserve"> </w:t>
      </w:r>
      <w:r w:rsidRPr="007245E0">
        <w:rPr>
          <w:rFonts w:eastAsia="Times New Roman" w:cs="Times New Roman"/>
          <w:szCs w:val="24"/>
          <w:lang w:val="en-GB" w:eastAsia="en-GB"/>
        </w:rPr>
        <w:t xml:space="preserve">See also </w:t>
      </w:r>
      <w:r w:rsidRPr="007245E0">
        <w:rPr>
          <w:rFonts w:eastAsia="Times New Roman" w:cs="Times New Roman"/>
          <w:i/>
          <w:iCs/>
          <w:szCs w:val="24"/>
          <w:lang w:val="en-GB" w:eastAsia="en-GB"/>
        </w:rPr>
        <w:t>Edmonton Police Service v Alberta (Information and Privacy Commissioner)</w:t>
      </w:r>
      <w:r w:rsidRPr="007245E0">
        <w:rPr>
          <w:rFonts w:eastAsia="Times New Roman" w:cs="Times New Roman"/>
          <w:szCs w:val="24"/>
          <w:lang w:val="en-GB" w:eastAsia="en-GB"/>
        </w:rPr>
        <w:t>, 2020 ABQB 10</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661; </w:t>
      </w:r>
      <w:r w:rsidRPr="007245E0">
        <w:rPr>
          <w:rFonts w:eastAsia="Times New Roman" w:cs="Times New Roman"/>
          <w:i/>
          <w:iCs/>
          <w:szCs w:val="24"/>
          <w:lang w:val="en-GB" w:eastAsia="en-GB"/>
        </w:rPr>
        <w:t>Alberta Union of Provincial Employees v Alberta Health Services</w:t>
      </w:r>
      <w:r>
        <w:rPr>
          <w:rFonts w:eastAsia="Times New Roman" w:cs="Times New Roman"/>
          <w:szCs w:val="24"/>
          <w:lang w:val="en-GB" w:eastAsia="en-GB"/>
        </w:rPr>
        <w:t>, 2020 ABCA 4 at para</w:t>
      </w:r>
      <w:r w:rsidRPr="007245E0">
        <w:rPr>
          <w:rFonts w:eastAsia="Times New Roman" w:cs="Times New Roman"/>
          <w:szCs w:val="24"/>
          <w:lang w:val="en-GB" w:eastAsia="en-GB"/>
        </w:rPr>
        <w:t xml:space="preserve"> </w:t>
      </w:r>
      <w:r w:rsidRPr="007245E0">
        <w:rPr>
          <w:rFonts w:eastAsia="Times New Roman" w:cs="Times New Roman"/>
          <w:szCs w:val="24"/>
          <w:lang w:val="fr-CA" w:eastAsia="en-GB"/>
        </w:rPr>
        <w:t xml:space="preserve">59; </w:t>
      </w:r>
      <w:r w:rsidRPr="007245E0">
        <w:rPr>
          <w:rFonts w:eastAsia="Times New Roman" w:cs="Times New Roman"/>
          <w:i/>
          <w:iCs/>
          <w:szCs w:val="24"/>
          <w:lang w:val="fr-CA" w:eastAsia="en-GB"/>
        </w:rPr>
        <w:t>Langlais</w:t>
      </w:r>
      <w:r>
        <w:rPr>
          <w:rFonts w:eastAsia="Times New Roman" w:cs="Times New Roman"/>
          <w:i/>
          <w:iCs/>
          <w:szCs w:val="24"/>
          <w:lang w:val="fr-CA" w:eastAsia="en-GB"/>
        </w:rPr>
        <w:t xml:space="preserve"> c</w:t>
      </w:r>
      <w:r w:rsidRPr="007245E0">
        <w:rPr>
          <w:rFonts w:eastAsia="Times New Roman" w:cs="Times New Roman"/>
          <w:i/>
          <w:iCs/>
          <w:szCs w:val="24"/>
          <w:lang w:val="fr-CA" w:eastAsia="en-GB"/>
        </w:rPr>
        <w:t xml:space="preserve"> Collège des médecins du Québec</w:t>
      </w:r>
      <w:r w:rsidRPr="007245E0">
        <w:rPr>
          <w:rFonts w:eastAsia="Times New Roman" w:cs="Times New Roman"/>
          <w:szCs w:val="24"/>
          <w:lang w:val="fr-CA" w:eastAsia="en-GB"/>
        </w:rPr>
        <w:t>, 2020 QCCA 134</w:t>
      </w:r>
      <w:r>
        <w:rPr>
          <w:rFonts w:eastAsia="Times New Roman" w:cs="Times New Roman"/>
          <w:szCs w:val="24"/>
          <w:lang w:val="fr-CA" w:eastAsia="en-GB"/>
        </w:rPr>
        <w:t xml:space="preserve"> at paras</w:t>
      </w:r>
      <w:r w:rsidRPr="007245E0">
        <w:rPr>
          <w:rFonts w:eastAsia="Times New Roman" w:cs="Times New Roman"/>
          <w:szCs w:val="24"/>
          <w:lang w:val="fr-CA" w:eastAsia="en-GB"/>
        </w:rPr>
        <w:t xml:space="preserve"> </w:t>
      </w:r>
      <w:r w:rsidRPr="007245E0">
        <w:rPr>
          <w:rFonts w:eastAsia="Times New Roman" w:cs="Times New Roman"/>
          <w:szCs w:val="24"/>
          <w:lang w:val="en-GB" w:eastAsia="en-GB"/>
        </w:rPr>
        <w:t xml:space="preserve">64-65; </w:t>
      </w:r>
      <w:r w:rsidRPr="007245E0">
        <w:rPr>
          <w:rFonts w:eastAsia="Times New Roman" w:cs="Times New Roman"/>
          <w:i/>
          <w:iCs/>
          <w:szCs w:val="24"/>
          <w:lang w:val="en-GB" w:eastAsia="en-GB"/>
        </w:rPr>
        <w:t>Mbula-Kolela</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260</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18-20; </w:t>
      </w:r>
      <w:r w:rsidRPr="007245E0">
        <w:rPr>
          <w:rFonts w:eastAsia="Times New Roman" w:cs="Times New Roman"/>
          <w:i/>
          <w:iCs/>
          <w:szCs w:val="24"/>
          <w:lang w:val="en-GB" w:eastAsia="en-GB"/>
        </w:rPr>
        <w:t>Rodriguez Martinez</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Canada (Citizenship and Immigration)</w:t>
      </w:r>
      <w:r w:rsidRPr="007245E0">
        <w:rPr>
          <w:rFonts w:eastAsia="Times New Roman" w:cs="Times New Roman"/>
          <w:szCs w:val="24"/>
          <w:lang w:val="en-GB" w:eastAsia="en-GB"/>
        </w:rPr>
        <w:t>, 2020 FC 293</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18-20; </w:t>
      </w:r>
      <w:r w:rsidRPr="007245E0">
        <w:rPr>
          <w:rFonts w:eastAsia="Times New Roman" w:cs="Times New Roman"/>
          <w:i/>
          <w:iCs/>
          <w:szCs w:val="24"/>
          <w:lang w:val="en-GB" w:eastAsia="en-GB"/>
        </w:rPr>
        <w:t>McKenzie</w:t>
      </w:r>
      <w:r>
        <w:rPr>
          <w:rFonts w:eastAsia="Times New Roman" w:cs="Times New Roman"/>
          <w:i/>
          <w:iCs/>
          <w:szCs w:val="24"/>
          <w:lang w:val="en-GB" w:eastAsia="en-GB"/>
        </w:rPr>
        <w:t xml:space="preserve"> c</w:t>
      </w:r>
      <w:r w:rsidRPr="007245E0">
        <w:rPr>
          <w:rFonts w:eastAsia="Times New Roman" w:cs="Times New Roman"/>
          <w:i/>
          <w:iCs/>
          <w:szCs w:val="24"/>
          <w:lang w:val="en-GB" w:eastAsia="en-GB"/>
        </w:rPr>
        <w:t xml:space="preserve"> Ambroise</w:t>
      </w:r>
      <w:r w:rsidRPr="007245E0">
        <w:rPr>
          <w:rFonts w:eastAsia="Times New Roman" w:cs="Times New Roman"/>
          <w:szCs w:val="24"/>
          <w:lang w:val="en-GB" w:eastAsia="en-GB"/>
        </w:rPr>
        <w:t>, 2020 CF 340</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31-37; </w:t>
      </w:r>
      <w:r w:rsidRPr="007245E0">
        <w:rPr>
          <w:rFonts w:eastAsia="Times New Roman" w:cs="Times New Roman"/>
          <w:i/>
          <w:iCs/>
          <w:szCs w:val="24"/>
          <w:lang w:val="en-GB" w:eastAsia="en-GB"/>
        </w:rPr>
        <w:t>Salmonid Association of Eastern Newfoundland</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Her Majesty the Queen in Right of Newfoundland and Labrador</w:t>
      </w:r>
      <w:r w:rsidRPr="007245E0">
        <w:rPr>
          <w:rFonts w:eastAsia="Times New Roman" w:cs="Times New Roman"/>
          <w:szCs w:val="24"/>
          <w:lang w:val="en-GB" w:eastAsia="en-GB"/>
        </w:rPr>
        <w:t>, 2020 NLSC 34</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112-114; </w:t>
      </w:r>
      <w:r w:rsidRPr="007245E0">
        <w:rPr>
          <w:rFonts w:eastAsia="Times New Roman" w:cs="Times New Roman"/>
          <w:i/>
          <w:iCs/>
          <w:szCs w:val="24"/>
          <w:lang w:val="en-GB" w:eastAsia="en-GB"/>
        </w:rPr>
        <w:t>Romania</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Boros</w:t>
      </w:r>
      <w:r w:rsidRPr="007245E0">
        <w:rPr>
          <w:rFonts w:eastAsia="Times New Roman" w:cs="Times New Roman"/>
          <w:szCs w:val="24"/>
          <w:lang w:val="en-GB" w:eastAsia="en-GB"/>
        </w:rPr>
        <w:t>, 2020 ONCA 216</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31-32; </w:t>
      </w:r>
      <w:r w:rsidRPr="007245E0">
        <w:rPr>
          <w:rFonts w:eastAsia="Times New Roman" w:cs="Times New Roman"/>
          <w:i/>
          <w:iCs/>
          <w:szCs w:val="24"/>
          <w:lang w:val="en-GB" w:eastAsia="en-GB"/>
        </w:rPr>
        <w:t>United Steel</w:t>
      </w:r>
      <w:r>
        <w:rPr>
          <w:rFonts w:eastAsia="Times New Roman" w:cs="Times New Roman"/>
          <w:i/>
          <w:iCs/>
          <w:szCs w:val="24"/>
          <w:lang w:val="en-GB" w:eastAsia="en-GB"/>
        </w:rPr>
        <w:t xml:space="preserve"> v</w:t>
      </w:r>
      <w:r w:rsidRPr="007245E0">
        <w:rPr>
          <w:rFonts w:eastAsia="Times New Roman" w:cs="Times New Roman"/>
          <w:i/>
          <w:iCs/>
          <w:szCs w:val="24"/>
          <w:lang w:val="en-GB" w:eastAsia="en-GB"/>
        </w:rPr>
        <w:t xml:space="preserve"> Georgia-Pacific LP</w:t>
      </w:r>
      <w:r w:rsidRPr="007245E0">
        <w:rPr>
          <w:rFonts w:eastAsia="Times New Roman" w:cs="Times New Roman"/>
          <w:szCs w:val="24"/>
          <w:lang w:val="en-GB" w:eastAsia="en-GB"/>
        </w:rPr>
        <w:t>, 2020 ONSC 1560</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70-74). But see </w:t>
      </w:r>
      <w:r w:rsidRPr="007245E0">
        <w:rPr>
          <w:rFonts w:eastAsia="Times New Roman" w:cs="Times New Roman"/>
          <w:i/>
          <w:iCs/>
          <w:szCs w:val="24"/>
          <w:lang w:val="en-GB" w:eastAsia="en-GB"/>
        </w:rPr>
        <w:t>Guevara v Louie</w:t>
      </w:r>
      <w:r w:rsidRPr="007245E0">
        <w:rPr>
          <w:rFonts w:eastAsia="Times New Roman" w:cs="Times New Roman"/>
          <w:szCs w:val="24"/>
          <w:lang w:val="en-GB" w:eastAsia="en-GB"/>
        </w:rPr>
        <w:t>, 2020 BCSC 380</w:t>
      </w:r>
      <w:r>
        <w:rPr>
          <w:rFonts w:eastAsia="Times New Roman" w:cs="Times New Roman"/>
          <w:szCs w:val="24"/>
          <w:lang w:val="en-GB" w:eastAsia="en-GB"/>
        </w:rPr>
        <w:t xml:space="preserve"> at paras</w:t>
      </w:r>
      <w:r w:rsidRPr="007245E0">
        <w:rPr>
          <w:rFonts w:eastAsia="Times New Roman" w:cs="Times New Roman"/>
          <w:szCs w:val="24"/>
          <w:lang w:val="en-GB" w:eastAsia="en-GB"/>
        </w:rPr>
        <w:t xml:space="preserve"> 85-87; </w:t>
      </w:r>
      <w:r w:rsidRPr="007245E0">
        <w:rPr>
          <w:rFonts w:eastAsia="Times New Roman" w:cs="Times New Roman"/>
          <w:i/>
          <w:iCs/>
          <w:szCs w:val="24"/>
          <w:lang w:val="en-GB" w:eastAsia="en-GB"/>
        </w:rPr>
        <w:t>Yu v City of Richmond</w:t>
      </w:r>
      <w:r w:rsidRPr="007245E0">
        <w:rPr>
          <w:rFonts w:eastAsia="Times New Roman" w:cs="Times New Roman"/>
          <w:szCs w:val="24"/>
          <w:lang w:val="en-GB" w:eastAsia="en-GB"/>
        </w:rPr>
        <w:t>, 2020 BCSC 454</w:t>
      </w:r>
      <w:r>
        <w:rPr>
          <w:rFonts w:eastAsia="Times New Roman" w:cs="Times New Roman"/>
          <w:szCs w:val="24"/>
          <w:lang w:val="en-GB" w:eastAsia="en-GB"/>
        </w:rPr>
        <w:t xml:space="preserve"> at para</w:t>
      </w:r>
      <w:r w:rsidRPr="007245E0">
        <w:rPr>
          <w:rFonts w:eastAsia="Times New Roman" w:cs="Times New Roman"/>
          <w:szCs w:val="24"/>
          <w:lang w:val="en-GB" w:eastAsia="en-GB"/>
        </w:rPr>
        <w:t xml:space="preserve"> 38; and see also </w:t>
      </w:r>
      <w:r w:rsidRPr="007245E0">
        <w:rPr>
          <w:rFonts w:eastAsia="Times New Roman" w:cs="Times New Roman"/>
          <w:i/>
          <w:iCs/>
          <w:szCs w:val="24"/>
          <w:lang w:val="en-GB" w:eastAsia="en-GB"/>
        </w:rPr>
        <w:t>Coquitlam (City) v British Columbia (Assessor of Area #10 – North Fraser Region)</w:t>
      </w:r>
      <w:r w:rsidRPr="007245E0">
        <w:rPr>
          <w:rFonts w:eastAsia="Times New Roman" w:cs="Times New Roman"/>
          <w:szCs w:val="24"/>
          <w:lang w:val="en-GB" w:eastAsia="en-GB"/>
        </w:rPr>
        <w:t xml:space="preserve">, 2020 BCSC 440 (though this was a statutory appeal so arguably the </w:t>
      </w:r>
      <w:r w:rsidRPr="007245E0">
        <w:rPr>
          <w:rFonts w:eastAsia="Times New Roman" w:cs="Times New Roman"/>
          <w:i/>
          <w:iCs/>
          <w:szCs w:val="24"/>
          <w:lang w:val="en-GB" w:eastAsia="en-GB"/>
        </w:rPr>
        <w:t xml:space="preserve">Vavilov </w:t>
      </w:r>
      <w:r w:rsidRPr="007245E0">
        <w:rPr>
          <w:rFonts w:eastAsia="Times New Roman" w:cs="Times New Roman"/>
          <w:szCs w:val="24"/>
          <w:lang w:val="en-GB" w:eastAsia="en-GB"/>
        </w:rPr>
        <w:t>principles on discretion do not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1263D"/>
    <w:multiLevelType w:val="hybridMultilevel"/>
    <w:tmpl w:val="AA40CA30"/>
    <w:lvl w:ilvl="0" w:tplc="5894B3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D6"/>
    <w:rsid w:val="000231AE"/>
    <w:rsid w:val="00034D3C"/>
    <w:rsid w:val="00087CA5"/>
    <w:rsid w:val="0009454C"/>
    <w:rsid w:val="00195300"/>
    <w:rsid w:val="001B3AC6"/>
    <w:rsid w:val="00236C34"/>
    <w:rsid w:val="002429CA"/>
    <w:rsid w:val="002F2A80"/>
    <w:rsid w:val="0030504D"/>
    <w:rsid w:val="0044711E"/>
    <w:rsid w:val="004E73FB"/>
    <w:rsid w:val="00556A2D"/>
    <w:rsid w:val="005D256A"/>
    <w:rsid w:val="00703DE4"/>
    <w:rsid w:val="007245E0"/>
    <w:rsid w:val="00735E7C"/>
    <w:rsid w:val="008044CE"/>
    <w:rsid w:val="008531FD"/>
    <w:rsid w:val="00856C75"/>
    <w:rsid w:val="00876209"/>
    <w:rsid w:val="00896A63"/>
    <w:rsid w:val="008D5E46"/>
    <w:rsid w:val="00945298"/>
    <w:rsid w:val="00976005"/>
    <w:rsid w:val="00987AC7"/>
    <w:rsid w:val="009C06E3"/>
    <w:rsid w:val="009D460F"/>
    <w:rsid w:val="00A34F9E"/>
    <w:rsid w:val="00A61530"/>
    <w:rsid w:val="00A619EF"/>
    <w:rsid w:val="00AA505C"/>
    <w:rsid w:val="00B35F86"/>
    <w:rsid w:val="00B97070"/>
    <w:rsid w:val="00BB3675"/>
    <w:rsid w:val="00C3557E"/>
    <w:rsid w:val="00C664DA"/>
    <w:rsid w:val="00C906D6"/>
    <w:rsid w:val="00C93400"/>
    <w:rsid w:val="00CB0DE8"/>
    <w:rsid w:val="00CD4328"/>
    <w:rsid w:val="00CD6CDD"/>
    <w:rsid w:val="00CE4AD4"/>
    <w:rsid w:val="00D12B53"/>
    <w:rsid w:val="00D42C24"/>
    <w:rsid w:val="00D57CD3"/>
    <w:rsid w:val="00E11AE6"/>
    <w:rsid w:val="00E11DC7"/>
    <w:rsid w:val="00EF45BE"/>
    <w:rsid w:val="00F20EDE"/>
    <w:rsid w:val="00F26ECA"/>
    <w:rsid w:val="00F33F82"/>
    <w:rsid w:val="00F63FAF"/>
    <w:rsid w:val="00FA2193"/>
    <w:rsid w:val="00FB0A84"/>
    <w:rsid w:val="00FB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F5B3"/>
  <w15:chartTrackingRefBased/>
  <w15:docId w15:val="{C23A0197-A9A1-486C-8C90-B1662148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5BE"/>
    <w:pPr>
      <w:spacing w:line="360" w:lineRule="auto"/>
    </w:pPr>
    <w:rPr>
      <w:rFonts w:ascii="Times New Roman" w:hAnsi="Times New Roman"/>
      <w:sz w:val="24"/>
      <w:lang w:val="en-CA"/>
    </w:rPr>
  </w:style>
  <w:style w:type="paragraph" w:styleId="Heading1">
    <w:name w:val="heading 1"/>
    <w:basedOn w:val="Normal"/>
    <w:link w:val="Heading1Char"/>
    <w:uiPriority w:val="9"/>
    <w:qFormat/>
    <w:rsid w:val="008D5E46"/>
    <w:pPr>
      <w:spacing w:before="100" w:beforeAutospacing="1" w:after="100" w:afterAutospacing="1" w:line="240" w:lineRule="auto"/>
      <w:jc w:val="center"/>
      <w:outlineLvl w:val="0"/>
    </w:pPr>
    <w:rPr>
      <w:rFonts w:eastAsia="Times New Roman" w:cs="Times New Roman"/>
      <w:b/>
      <w:bCs/>
      <w:kern w:val="36"/>
      <w:sz w:val="32"/>
      <w:szCs w:val="48"/>
      <w:lang w:val="en-GB" w:eastAsia="en-CA"/>
    </w:rPr>
  </w:style>
  <w:style w:type="paragraph" w:styleId="Heading2">
    <w:name w:val="heading 2"/>
    <w:basedOn w:val="Normal"/>
    <w:next w:val="Normal"/>
    <w:link w:val="Heading2Char"/>
    <w:uiPriority w:val="9"/>
    <w:unhideWhenUsed/>
    <w:qFormat/>
    <w:rsid w:val="007245E0"/>
    <w:pPr>
      <w:keepNext/>
      <w:keepLines/>
      <w:spacing w:before="40" w:after="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E46"/>
    <w:rPr>
      <w:rFonts w:ascii="Times New Roman" w:eastAsia="Times New Roman" w:hAnsi="Times New Roman" w:cs="Times New Roman"/>
      <w:b/>
      <w:bCs/>
      <w:kern w:val="36"/>
      <w:sz w:val="32"/>
      <w:szCs w:val="48"/>
      <w:lang w:eastAsia="en-CA"/>
    </w:rPr>
  </w:style>
  <w:style w:type="character" w:customStyle="1" w:styleId="Heading2Char">
    <w:name w:val="Heading 2 Char"/>
    <w:basedOn w:val="DefaultParagraphFont"/>
    <w:link w:val="Heading2"/>
    <w:uiPriority w:val="9"/>
    <w:rsid w:val="007245E0"/>
    <w:rPr>
      <w:rFonts w:ascii="Times New Roman" w:eastAsiaTheme="majorEastAsia" w:hAnsi="Times New Roman" w:cstheme="majorBidi"/>
      <w:sz w:val="24"/>
      <w:szCs w:val="26"/>
      <w:u w:val="single"/>
      <w:lang w:val="en-CA"/>
    </w:rPr>
  </w:style>
  <w:style w:type="paragraph" w:styleId="Title">
    <w:name w:val="Title"/>
    <w:aliases w:val="Heading Three"/>
    <w:basedOn w:val="Normal"/>
    <w:next w:val="Normal"/>
    <w:link w:val="TitleChar"/>
    <w:uiPriority w:val="10"/>
    <w:qFormat/>
    <w:rsid w:val="00EF45BE"/>
    <w:pPr>
      <w:spacing w:after="0" w:line="240" w:lineRule="auto"/>
      <w:contextualSpacing/>
    </w:pPr>
    <w:rPr>
      <w:rFonts w:eastAsiaTheme="majorEastAsia" w:cstheme="majorBidi"/>
      <w:i/>
      <w:spacing w:val="-10"/>
      <w:kern w:val="28"/>
      <w:szCs w:val="56"/>
    </w:rPr>
  </w:style>
  <w:style w:type="character" w:customStyle="1" w:styleId="TitleChar">
    <w:name w:val="Title Char"/>
    <w:aliases w:val="Heading Three Char"/>
    <w:basedOn w:val="DefaultParagraphFont"/>
    <w:link w:val="Title"/>
    <w:uiPriority w:val="10"/>
    <w:rsid w:val="00EF45BE"/>
    <w:rPr>
      <w:rFonts w:ascii="Times New Roman" w:eastAsiaTheme="majorEastAsia" w:hAnsi="Times New Roman" w:cstheme="majorBidi"/>
      <w:i/>
      <w:spacing w:val="-10"/>
      <w:kern w:val="28"/>
      <w:sz w:val="24"/>
      <w:szCs w:val="56"/>
    </w:rPr>
  </w:style>
  <w:style w:type="paragraph" w:styleId="NormalWeb">
    <w:name w:val="Normal (Web)"/>
    <w:basedOn w:val="Normal"/>
    <w:uiPriority w:val="99"/>
    <w:semiHidden/>
    <w:unhideWhenUsed/>
    <w:rsid w:val="00C906D6"/>
    <w:pPr>
      <w:spacing w:before="100" w:beforeAutospacing="1" w:after="100" w:afterAutospacing="1" w:line="240" w:lineRule="auto"/>
    </w:pPr>
    <w:rPr>
      <w:rFonts w:eastAsia="Times New Roman" w:cs="Times New Roman"/>
      <w:szCs w:val="24"/>
      <w:lang w:val="en-GB" w:eastAsia="en-GB"/>
    </w:rPr>
  </w:style>
  <w:style w:type="character" w:styleId="Emphasis">
    <w:name w:val="Emphasis"/>
    <w:basedOn w:val="DefaultParagraphFont"/>
    <w:uiPriority w:val="20"/>
    <w:qFormat/>
    <w:rsid w:val="00C906D6"/>
    <w:rPr>
      <w:i/>
      <w:iCs/>
    </w:rPr>
  </w:style>
  <w:style w:type="character" w:styleId="Hyperlink">
    <w:name w:val="Hyperlink"/>
    <w:basedOn w:val="DefaultParagraphFont"/>
    <w:uiPriority w:val="99"/>
    <w:semiHidden/>
    <w:unhideWhenUsed/>
    <w:rsid w:val="00C906D6"/>
    <w:rPr>
      <w:color w:val="0000FF"/>
      <w:u w:val="single"/>
    </w:rPr>
  </w:style>
  <w:style w:type="character" w:styleId="Strong">
    <w:name w:val="Strong"/>
    <w:basedOn w:val="DefaultParagraphFont"/>
    <w:uiPriority w:val="22"/>
    <w:qFormat/>
    <w:rsid w:val="00C906D6"/>
    <w:rPr>
      <w:b/>
      <w:bCs/>
    </w:rPr>
  </w:style>
  <w:style w:type="character" w:styleId="HTMLCite">
    <w:name w:val="HTML Cite"/>
    <w:basedOn w:val="DefaultParagraphFont"/>
    <w:uiPriority w:val="99"/>
    <w:semiHidden/>
    <w:unhideWhenUsed/>
    <w:rsid w:val="00C906D6"/>
    <w:rPr>
      <w:i/>
      <w:iCs/>
    </w:rPr>
  </w:style>
  <w:style w:type="paragraph" w:styleId="FootnoteText">
    <w:name w:val="footnote text"/>
    <w:basedOn w:val="Normal"/>
    <w:link w:val="FootnoteTextChar"/>
    <w:uiPriority w:val="99"/>
    <w:semiHidden/>
    <w:unhideWhenUsed/>
    <w:rsid w:val="00C90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6D6"/>
    <w:rPr>
      <w:rFonts w:ascii="Times New Roman" w:hAnsi="Times New Roman"/>
      <w:sz w:val="20"/>
      <w:szCs w:val="20"/>
      <w:lang w:val="en-CA"/>
    </w:rPr>
  </w:style>
  <w:style w:type="character" w:styleId="FootnoteReference">
    <w:name w:val="footnote reference"/>
    <w:basedOn w:val="DefaultParagraphFont"/>
    <w:uiPriority w:val="99"/>
    <w:semiHidden/>
    <w:unhideWhenUsed/>
    <w:rsid w:val="00C906D6"/>
    <w:rPr>
      <w:vertAlign w:val="superscript"/>
    </w:rPr>
  </w:style>
  <w:style w:type="character" w:styleId="CommentReference">
    <w:name w:val="annotation reference"/>
    <w:basedOn w:val="DefaultParagraphFont"/>
    <w:uiPriority w:val="99"/>
    <w:semiHidden/>
    <w:unhideWhenUsed/>
    <w:rsid w:val="00A61530"/>
    <w:rPr>
      <w:sz w:val="18"/>
      <w:szCs w:val="18"/>
    </w:rPr>
  </w:style>
  <w:style w:type="paragraph" w:styleId="CommentText">
    <w:name w:val="annotation text"/>
    <w:basedOn w:val="Normal"/>
    <w:link w:val="CommentTextChar"/>
    <w:uiPriority w:val="99"/>
    <w:semiHidden/>
    <w:unhideWhenUsed/>
    <w:rsid w:val="00A61530"/>
    <w:pPr>
      <w:spacing w:line="240" w:lineRule="auto"/>
    </w:pPr>
    <w:rPr>
      <w:szCs w:val="24"/>
    </w:rPr>
  </w:style>
  <w:style w:type="character" w:customStyle="1" w:styleId="CommentTextChar">
    <w:name w:val="Comment Text Char"/>
    <w:basedOn w:val="DefaultParagraphFont"/>
    <w:link w:val="CommentText"/>
    <w:uiPriority w:val="99"/>
    <w:semiHidden/>
    <w:rsid w:val="00A61530"/>
    <w:rPr>
      <w:rFonts w:ascii="Times New Roman" w:hAnsi="Times New Roman"/>
      <w:sz w:val="24"/>
      <w:szCs w:val="24"/>
      <w:lang w:val="en-CA"/>
    </w:rPr>
  </w:style>
  <w:style w:type="paragraph" w:styleId="CommentSubject">
    <w:name w:val="annotation subject"/>
    <w:basedOn w:val="CommentText"/>
    <w:next w:val="CommentText"/>
    <w:link w:val="CommentSubjectChar"/>
    <w:uiPriority w:val="99"/>
    <w:semiHidden/>
    <w:unhideWhenUsed/>
    <w:rsid w:val="00A61530"/>
    <w:rPr>
      <w:b/>
      <w:bCs/>
      <w:sz w:val="20"/>
      <w:szCs w:val="20"/>
    </w:rPr>
  </w:style>
  <w:style w:type="character" w:customStyle="1" w:styleId="CommentSubjectChar">
    <w:name w:val="Comment Subject Char"/>
    <w:basedOn w:val="CommentTextChar"/>
    <w:link w:val="CommentSubject"/>
    <w:uiPriority w:val="99"/>
    <w:semiHidden/>
    <w:rsid w:val="00A61530"/>
    <w:rPr>
      <w:rFonts w:ascii="Times New Roman" w:hAnsi="Times New Roman"/>
      <w:b/>
      <w:bCs/>
      <w:sz w:val="20"/>
      <w:szCs w:val="20"/>
      <w:lang w:val="en-CA"/>
    </w:rPr>
  </w:style>
  <w:style w:type="paragraph" w:styleId="BalloonText">
    <w:name w:val="Balloon Text"/>
    <w:basedOn w:val="Normal"/>
    <w:link w:val="BalloonTextChar"/>
    <w:uiPriority w:val="99"/>
    <w:semiHidden/>
    <w:unhideWhenUsed/>
    <w:rsid w:val="00A61530"/>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61530"/>
    <w:rPr>
      <w:rFonts w:ascii="Times New Roman" w:hAnsi="Times New Roman" w:cs="Times New Roman"/>
      <w:sz w:val="18"/>
      <w:szCs w:val="18"/>
      <w:lang w:val="en-CA"/>
    </w:rPr>
  </w:style>
  <w:style w:type="paragraph" w:styleId="DocumentMap">
    <w:name w:val="Document Map"/>
    <w:basedOn w:val="Normal"/>
    <w:link w:val="DocumentMapChar"/>
    <w:uiPriority w:val="99"/>
    <w:semiHidden/>
    <w:unhideWhenUsed/>
    <w:rsid w:val="00856C75"/>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856C75"/>
    <w:rPr>
      <w:rFonts w:ascii="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9590">
      <w:bodyDiv w:val="1"/>
      <w:marLeft w:val="0"/>
      <w:marRight w:val="0"/>
      <w:marTop w:val="0"/>
      <w:marBottom w:val="0"/>
      <w:divBdr>
        <w:top w:val="none" w:sz="0" w:space="0" w:color="auto"/>
        <w:left w:val="none" w:sz="0" w:space="0" w:color="auto"/>
        <w:bottom w:val="none" w:sz="0" w:space="0" w:color="auto"/>
        <w:right w:val="none" w:sz="0" w:space="0" w:color="auto"/>
      </w:divBdr>
    </w:div>
    <w:div w:id="99834875">
      <w:bodyDiv w:val="1"/>
      <w:marLeft w:val="0"/>
      <w:marRight w:val="0"/>
      <w:marTop w:val="0"/>
      <w:marBottom w:val="0"/>
      <w:divBdr>
        <w:top w:val="none" w:sz="0" w:space="0" w:color="auto"/>
        <w:left w:val="none" w:sz="0" w:space="0" w:color="auto"/>
        <w:bottom w:val="none" w:sz="0" w:space="0" w:color="auto"/>
        <w:right w:val="none" w:sz="0" w:space="0" w:color="auto"/>
      </w:divBdr>
    </w:div>
    <w:div w:id="904027683">
      <w:bodyDiv w:val="1"/>
      <w:marLeft w:val="0"/>
      <w:marRight w:val="0"/>
      <w:marTop w:val="0"/>
      <w:marBottom w:val="0"/>
      <w:divBdr>
        <w:top w:val="none" w:sz="0" w:space="0" w:color="auto"/>
        <w:left w:val="none" w:sz="0" w:space="0" w:color="auto"/>
        <w:bottom w:val="none" w:sz="0" w:space="0" w:color="auto"/>
        <w:right w:val="none" w:sz="0" w:space="0" w:color="auto"/>
      </w:divBdr>
    </w:div>
    <w:div w:id="1509566188">
      <w:bodyDiv w:val="1"/>
      <w:marLeft w:val="0"/>
      <w:marRight w:val="0"/>
      <w:marTop w:val="0"/>
      <w:marBottom w:val="0"/>
      <w:divBdr>
        <w:top w:val="none" w:sz="0" w:space="0" w:color="auto"/>
        <w:left w:val="none" w:sz="0" w:space="0" w:color="auto"/>
        <w:bottom w:val="none" w:sz="0" w:space="0" w:color="auto"/>
        <w:right w:val="none" w:sz="0" w:space="0" w:color="auto"/>
      </w:divBdr>
    </w:div>
    <w:div w:id="1624920484">
      <w:bodyDiv w:val="1"/>
      <w:marLeft w:val="0"/>
      <w:marRight w:val="0"/>
      <w:marTop w:val="0"/>
      <w:marBottom w:val="0"/>
      <w:divBdr>
        <w:top w:val="none" w:sz="0" w:space="0" w:color="auto"/>
        <w:left w:val="none" w:sz="0" w:space="0" w:color="auto"/>
        <w:bottom w:val="none" w:sz="0" w:space="0" w:color="auto"/>
        <w:right w:val="none" w:sz="0" w:space="0" w:color="auto"/>
      </w:divBdr>
      <w:divsChild>
        <w:div w:id="121434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45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566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2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88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8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4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362965">
      <w:bodyDiv w:val="1"/>
      <w:marLeft w:val="0"/>
      <w:marRight w:val="0"/>
      <w:marTop w:val="0"/>
      <w:marBottom w:val="0"/>
      <w:divBdr>
        <w:top w:val="none" w:sz="0" w:space="0" w:color="auto"/>
        <w:left w:val="none" w:sz="0" w:space="0" w:color="auto"/>
        <w:bottom w:val="none" w:sz="0" w:space="0" w:color="auto"/>
        <w:right w:val="none" w:sz="0" w:space="0" w:color="auto"/>
      </w:divBdr>
    </w:div>
    <w:div w:id="17530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lii.ca/t/j4vgh" TargetMode="External"/><Relationship Id="rId13" Type="http://schemas.openxmlformats.org/officeDocument/2006/relationships/hyperlink" Target="https://www.canlii.org/en/ca/laws/stat/sc-1992-c-20/latest/sc-1992-c-20.html" TargetMode="External"/><Relationship Id="rId18" Type="http://schemas.openxmlformats.org/officeDocument/2006/relationships/hyperlink" Target="https://www.canlii.org/en/bc/laws/stat/sbc-2004-c-45/latest/sbc-2004-c-45.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nlii.org/en/bc/bcca/doc/2014/2014bcca496/2014bcca496.html" TargetMode="External"/><Relationship Id="rId7" Type="http://schemas.openxmlformats.org/officeDocument/2006/relationships/hyperlink" Target="https://papers.ssrn.com/sol3/papers.cfm?abstract_id=3519681" TargetMode="External"/><Relationship Id="rId12" Type="http://schemas.openxmlformats.org/officeDocument/2006/relationships/hyperlink" Target="https://papers.ssrn.com/sol3/papers.cfm?abstract_id=3519681" TargetMode="External"/><Relationship Id="rId17" Type="http://schemas.openxmlformats.org/officeDocument/2006/relationships/hyperlink" Target="https://www.canlii.org/en/bc/laws/stat/sbc-2004-c-45/latest/sbc-2004-c-45.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lii.org/en/ca/laws/stat/sc-1992-c-20/latest/sc-1992-c-20.html" TargetMode="External"/><Relationship Id="rId20" Type="http://schemas.openxmlformats.org/officeDocument/2006/relationships/hyperlink" Target="https://www.canlii.org/en/bc/bcca/doc/2014/2014bcca496/2014bcca49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ssrn.com/sol3/papers.cfm?abstract_id=3519681" TargetMode="External"/><Relationship Id="rId24" Type="http://schemas.openxmlformats.org/officeDocument/2006/relationships/hyperlink" Target="https://www.canlii.org/en/ca/scc/doc/2009/2009scc12/2009scc12.html" TargetMode="External"/><Relationship Id="rId5" Type="http://schemas.openxmlformats.org/officeDocument/2006/relationships/footnotes" Target="footnotes.xml"/><Relationship Id="rId15" Type="http://schemas.openxmlformats.org/officeDocument/2006/relationships/hyperlink" Target="https://www.canlii.org/en/ca/laws/stat/sc-1992-c-20/latest/sc-1992-c-20.html" TargetMode="External"/><Relationship Id="rId23" Type="http://schemas.openxmlformats.org/officeDocument/2006/relationships/hyperlink" Target="https://www.canlii.org/en/ca/scc/doc/2009/2009scc12/2009scc12.html" TargetMode="External"/><Relationship Id="rId10" Type="http://schemas.openxmlformats.org/officeDocument/2006/relationships/hyperlink" Target="https://doubleaspect.blog/2020/03/19/the-nero-post-two-niche-issues-in-judicial-review-post-vavilov/" TargetMode="External"/><Relationship Id="rId19" Type="http://schemas.openxmlformats.org/officeDocument/2006/relationships/hyperlink" Target="https://www.canlii.org/en/ca/scc/doc/2008/2008scc65/2008scc65.html" TargetMode="External"/><Relationship Id="rId4" Type="http://schemas.openxmlformats.org/officeDocument/2006/relationships/webSettings" Target="webSettings.xml"/><Relationship Id="rId9" Type="http://schemas.openxmlformats.org/officeDocument/2006/relationships/hyperlink" Target="http://canlii.ca/t/j4sld" TargetMode="External"/><Relationship Id="rId14" Type="http://schemas.openxmlformats.org/officeDocument/2006/relationships/hyperlink" Target="https://www.canlii.org/en/ca/laws/stat/sc-1992-c-20/latest/sc-1992-c-20.html" TargetMode="External"/><Relationship Id="rId22" Type="http://schemas.openxmlformats.org/officeDocument/2006/relationships/hyperlink" Target="https://www.canlii.org/en/ca/scc/doc/2019/2019scc65/2019scc65.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dministrativelawmatters.com/blog/2017/10/12/is-deference-constitutional-in-canada/" TargetMode="External"/><Relationship Id="rId7" Type="http://schemas.openxmlformats.org/officeDocument/2006/relationships/hyperlink" Target="http://canlii.ca/t/j4trd" TargetMode="External"/><Relationship Id="rId2" Type="http://schemas.openxmlformats.org/officeDocument/2006/relationships/hyperlink" Target="http://canlii.ca/t/j4sld" TargetMode="External"/><Relationship Id="rId1" Type="http://schemas.openxmlformats.org/officeDocument/2006/relationships/hyperlink" Target="http://canlii.ca/t/j503b" TargetMode="External"/><Relationship Id="rId6" Type="http://schemas.openxmlformats.org/officeDocument/2006/relationships/hyperlink" Target="http://canlii.ca/t/j4z9v" TargetMode="External"/><Relationship Id="rId5" Type="http://schemas.openxmlformats.org/officeDocument/2006/relationships/hyperlink" Target="http://canlii.ca/t/j4trd" TargetMode="External"/><Relationship Id="rId4" Type="http://schemas.openxmlformats.org/officeDocument/2006/relationships/hyperlink" Target="https://www.administrativelawmatters.com/blog/2014/10/02/investigating-process-substance-and-procedural-fair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14</Pages>
  <Words>5778</Words>
  <Characters>32938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Daly</dc:creator>
  <cp:keywords/>
  <dc:description/>
  <cp:lastModifiedBy>Natalie Berchem</cp:lastModifiedBy>
  <cp:revision>4</cp:revision>
  <dcterms:created xsi:type="dcterms:W3CDTF">2020-05-06T23:02:00Z</dcterms:created>
  <dcterms:modified xsi:type="dcterms:W3CDTF">2020-05-07T14:02:00Z</dcterms:modified>
</cp:coreProperties>
</file>