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5B9BD5"/>
        </w:tblBorders>
        <w:tblLook w:val="04A0" w:firstRow="1" w:lastRow="0" w:firstColumn="1" w:lastColumn="0" w:noHBand="0" w:noVBand="1"/>
      </w:tblPr>
      <w:tblGrid>
        <w:gridCol w:w="3734"/>
      </w:tblGrid>
      <w:tr w:rsidR="00C2362F" w14:paraId="5643D27A" w14:textId="77777777" w:rsidTr="00C2362F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E296CE8" w14:textId="1187A43A" w:rsidR="00C2362F" w:rsidRPr="00C2362F" w:rsidRDefault="00C2362F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</w:tr>
      <w:tr w:rsidR="00C2362F" w14:paraId="135E688A" w14:textId="77777777" w:rsidTr="00C2362F">
        <w:tc>
          <w:tcPr>
            <w:tcW w:w="7672" w:type="dxa"/>
          </w:tcPr>
          <w:p w14:paraId="02EE8484" w14:textId="5B76D09D" w:rsidR="00C2362F" w:rsidRPr="00C2362F" w:rsidRDefault="00C2362F" w:rsidP="00C2362F">
            <w:pPr>
              <w:pStyle w:val="NoSpacing"/>
              <w:rPr>
                <w:rFonts w:ascii="Calibri Light" w:eastAsia="Times New Roman" w:hAnsi="Calibri Light" w:cs="Times New Roman"/>
                <w:color w:val="5B9BD5"/>
                <w:sz w:val="80"/>
                <w:szCs w:val="80"/>
              </w:rPr>
            </w:pPr>
            <w:r>
              <w:rPr>
                <w:rFonts w:ascii="Calibri Light" w:eastAsia="Times New Roman" w:hAnsi="Calibri Light" w:cs="Times New Roman"/>
                <w:sz w:val="80"/>
                <w:szCs w:val="80"/>
              </w:rPr>
              <w:t>Index – Public Law</w:t>
            </w:r>
          </w:p>
        </w:tc>
      </w:tr>
      <w:tr w:rsidR="00C2362F" w14:paraId="6B02494D" w14:textId="77777777" w:rsidTr="00C2362F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7DD2C89" w14:textId="44009D71" w:rsidR="00C2362F" w:rsidRPr="00C2362F" w:rsidRDefault="00C2362F" w:rsidP="00C2362F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2016 Barrister Exam</w:t>
            </w:r>
          </w:p>
        </w:tc>
      </w:tr>
    </w:tbl>
    <w:p w14:paraId="51C2FE64" w14:textId="77777777" w:rsidR="00C2362F" w:rsidRDefault="00C2362F"/>
    <w:p w14:paraId="40A62010" w14:textId="77777777" w:rsidR="00C2362F" w:rsidRDefault="00C2362F"/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3734"/>
      </w:tblGrid>
      <w:tr w:rsidR="00C2362F" w14:paraId="38D259FE" w14:textId="7777777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028E891" w14:textId="1EB6C2B9" w:rsidR="00C2362F" w:rsidRPr="00C2362F" w:rsidRDefault="00C2362F">
            <w:pPr>
              <w:pStyle w:val="NoSpacing"/>
              <w:rPr>
                <w:color w:val="5B9BD5"/>
              </w:rPr>
            </w:pPr>
            <w:r>
              <w:rPr>
                <w:lang w:val="en-CA"/>
              </w:rPr>
              <w:t>Last Updated:</w:t>
            </w:r>
          </w:p>
          <w:p w14:paraId="7C6EEBF2" w14:textId="7937170B" w:rsidR="00C2362F" w:rsidRPr="00C2362F" w:rsidRDefault="00C2362F">
            <w:pPr>
              <w:pStyle w:val="NoSpacing"/>
              <w:rPr>
                <w:color w:val="5B9BD5"/>
              </w:rPr>
            </w:pPr>
            <w:r>
              <w:t>4/29/2016</w:t>
            </w:r>
          </w:p>
          <w:p w14:paraId="465EAAFC" w14:textId="77777777" w:rsidR="00C2362F" w:rsidRPr="00C2362F" w:rsidRDefault="00C2362F">
            <w:pPr>
              <w:pStyle w:val="NoSpacing"/>
              <w:rPr>
                <w:color w:val="5B9BD5"/>
              </w:rPr>
            </w:pPr>
          </w:p>
        </w:tc>
      </w:tr>
    </w:tbl>
    <w:p w14:paraId="78D333F2" w14:textId="77777777" w:rsidR="00C2362F" w:rsidRDefault="00C2362F"/>
    <w:p w14:paraId="14118D43" w14:textId="006502CF" w:rsidR="00C2362F" w:rsidRDefault="00C2362F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5"/>
        <w:gridCol w:w="2851"/>
      </w:tblGrid>
      <w:tr w:rsidR="008A5297" w14:paraId="492B25F4" w14:textId="77777777">
        <w:trPr>
          <w:cantSplit/>
          <w:trHeight w:val="1960"/>
        </w:trPr>
        <w:tc>
          <w:tcPr>
            <w:tcW w:w="15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1E41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Chapter 65:</w:t>
            </w:r>
          </w:p>
          <w:p w14:paraId="6CFC8E15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66:</w:t>
            </w:r>
          </w:p>
          <w:p w14:paraId="2FE3C02E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67:</w:t>
            </w:r>
          </w:p>
          <w:p w14:paraId="4F5064A0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68:</w:t>
            </w:r>
          </w:p>
          <w:p w14:paraId="5A3125A4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69:</w:t>
            </w:r>
          </w:p>
          <w:p w14:paraId="2A7DE46A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Chapter 70: </w:t>
            </w:r>
          </w:p>
          <w:p w14:paraId="3AB07633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71:</w:t>
            </w:r>
          </w:p>
          <w:p w14:paraId="1EB34524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72:</w:t>
            </w:r>
          </w:p>
          <w:p w14:paraId="5E703BE9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Chapter 73:</w:t>
            </w:r>
          </w:p>
        </w:tc>
        <w:tc>
          <w:tcPr>
            <w:tcW w:w="28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3E93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Public law: basic principles</w:t>
            </w:r>
          </w:p>
          <w:p w14:paraId="1AE85A95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Practice before admin tribunals</w:t>
            </w:r>
          </w:p>
          <w:p w14:paraId="5EE7BD0D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of admin action</w:t>
            </w:r>
          </w:p>
          <w:p w14:paraId="7B4C7B07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and privacy</w:t>
            </w:r>
          </w:p>
          <w:p w14:paraId="4018BD8B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 division of powers</w:t>
            </w:r>
          </w:p>
          <w:p w14:paraId="102C5D08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Interpreting the Charter</w:t>
            </w:r>
          </w:p>
          <w:p w14:paraId="10F9C617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Proving a Charter claim</w:t>
            </w:r>
          </w:p>
          <w:p w14:paraId="59310D16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Procedure in constitutional cases</w:t>
            </w:r>
          </w:p>
          <w:p w14:paraId="49CFEFB1" w14:textId="77777777" w:rsidR="008A5297" w:rsidRDefault="008A529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and treaty rights (s. 35)</w:t>
            </w:r>
          </w:p>
        </w:tc>
      </w:tr>
    </w:tbl>
    <w:p w14:paraId="175BD484" w14:textId="77777777" w:rsidR="008A5297" w:rsidRDefault="008A5297">
      <w:pPr>
        <w:spacing w:after="0"/>
        <w:rPr>
          <w:rFonts w:ascii="Arial Narrow" w:hAnsi="Arial Narrow"/>
          <w:sz w:val="20"/>
        </w:rPr>
      </w:pPr>
    </w:p>
    <w:tbl>
      <w:tblPr>
        <w:tblStyle w:val="TableGrid"/>
        <w:tblW w:w="4962" w:type="dxa"/>
        <w:tblLayout w:type="fixed"/>
        <w:tblLook w:val="0000" w:firstRow="0" w:lastRow="0" w:firstColumn="0" w:lastColumn="0" w:noHBand="0" w:noVBand="0"/>
      </w:tblPr>
      <w:tblGrid>
        <w:gridCol w:w="4025"/>
        <w:gridCol w:w="510"/>
        <w:gridCol w:w="427"/>
      </w:tblGrid>
      <w:tr w:rsidR="00A72EAE" w14:paraId="6B8CCF18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88ADA24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1DF80E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65FFD7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3B0549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F1C36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applicants – Judicial Review</w:t>
            </w:r>
          </w:p>
        </w:tc>
        <w:tc>
          <w:tcPr>
            <w:tcW w:w="510" w:type="dxa"/>
            <w:vAlign w:val="center"/>
          </w:tcPr>
          <w:p w14:paraId="3CE13D3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27F69D8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ACD7A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F4268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Aboriginal rights – </w:t>
            </w: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interaction – </w:t>
            </w:r>
            <w:r>
              <w:rPr>
                <w:rFonts w:ascii="Arial Narrow" w:hAnsi="Arial Narrow"/>
                <w:sz w:val="20"/>
              </w:rPr>
              <w:t xml:space="preserve">cannot be limited by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(s. 25)</w:t>
            </w:r>
          </w:p>
        </w:tc>
        <w:tc>
          <w:tcPr>
            <w:tcW w:w="510" w:type="dxa"/>
            <w:vAlign w:val="center"/>
          </w:tcPr>
          <w:p w14:paraId="35761A8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0EE4639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571B34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E87BD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not enforceable under s. 24</w:t>
            </w:r>
          </w:p>
        </w:tc>
        <w:tc>
          <w:tcPr>
            <w:tcW w:w="510" w:type="dxa"/>
            <w:vAlign w:val="center"/>
          </w:tcPr>
          <w:p w14:paraId="5CE2DE8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067F1C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19B2D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F84B9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notwithstanding clause</w:t>
            </w:r>
          </w:p>
        </w:tc>
        <w:tc>
          <w:tcPr>
            <w:tcW w:w="510" w:type="dxa"/>
            <w:vAlign w:val="center"/>
          </w:tcPr>
          <w:p w14:paraId="2177D52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0D397DC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3BE738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1E61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s. 35 rights cannot be limited under s. 1</w:t>
            </w:r>
          </w:p>
        </w:tc>
        <w:tc>
          <w:tcPr>
            <w:tcW w:w="510" w:type="dxa"/>
            <w:vAlign w:val="center"/>
          </w:tcPr>
          <w:p w14:paraId="4D949B9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921762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5BDD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631F8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s. 35 rights vs.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rights </w:t>
            </w:r>
          </w:p>
        </w:tc>
        <w:tc>
          <w:tcPr>
            <w:tcW w:w="510" w:type="dxa"/>
            <w:vAlign w:val="center"/>
          </w:tcPr>
          <w:p w14:paraId="31BDE9F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DC68E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F982D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5FD84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interaction – shield or sword</w:t>
            </w:r>
          </w:p>
        </w:tc>
        <w:tc>
          <w:tcPr>
            <w:tcW w:w="510" w:type="dxa"/>
            <w:vAlign w:val="center"/>
          </w:tcPr>
          <w:p w14:paraId="07F9CD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155EC42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52A0CD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13112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compensation for infringements of Aboriginal title –</w:t>
            </w:r>
            <w:proofErr w:type="spellStart"/>
            <w:r>
              <w:rPr>
                <w:rFonts w:ascii="Arial Narrow Italic" w:hAnsi="Arial Narrow Italic"/>
                <w:sz w:val="20"/>
              </w:rPr>
              <w:t>Delgamuukw</w:t>
            </w:r>
            <w:proofErr w:type="spellEnd"/>
          </w:p>
        </w:tc>
        <w:tc>
          <w:tcPr>
            <w:tcW w:w="510" w:type="dxa"/>
            <w:vAlign w:val="center"/>
          </w:tcPr>
          <w:p w14:paraId="4285D05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295BAC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83E51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3CBEE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constitutional recognition – s. 35 </w:t>
            </w:r>
            <w:r>
              <w:rPr>
                <w:rFonts w:ascii="Arial Narrow Italic" w:hAnsi="Arial Narrow Italic"/>
                <w:sz w:val="20"/>
              </w:rPr>
              <w:t>Constitution Act</w:t>
            </w:r>
          </w:p>
        </w:tc>
        <w:tc>
          <w:tcPr>
            <w:tcW w:w="510" w:type="dxa"/>
            <w:vAlign w:val="center"/>
          </w:tcPr>
          <w:p w14:paraId="4A744902" w14:textId="77777777" w:rsidR="00A72EAE" w:rsidRDefault="00A72EAE" w:rsidP="00517ABE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6A21A83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1D63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BCB1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criminal or quasi-criminal prosecutions</w:t>
            </w:r>
          </w:p>
        </w:tc>
        <w:tc>
          <w:tcPr>
            <w:tcW w:w="510" w:type="dxa"/>
            <w:vAlign w:val="center"/>
          </w:tcPr>
          <w:p w14:paraId="56F7C44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A32DB8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E2B83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783C5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duty to consult</w:t>
            </w:r>
          </w:p>
        </w:tc>
        <w:tc>
          <w:tcPr>
            <w:tcW w:w="510" w:type="dxa"/>
            <w:vAlign w:val="center"/>
          </w:tcPr>
          <w:p w14:paraId="45AFE9F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8AF751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10030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73672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duty to consult – boards and tribunals – </w:t>
            </w:r>
            <w:r>
              <w:rPr>
                <w:rFonts w:ascii="Arial Narrow Italic" w:hAnsi="Arial Narrow Italic"/>
                <w:sz w:val="20"/>
              </w:rPr>
              <w:t xml:space="preserve">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444A73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74F377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692006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504CB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duty to consult – Crown policies – don’t necessarily meet legal requirements</w:t>
            </w:r>
          </w:p>
        </w:tc>
        <w:tc>
          <w:tcPr>
            <w:tcW w:w="510" w:type="dxa"/>
            <w:vAlign w:val="center"/>
          </w:tcPr>
          <w:p w14:paraId="1D9B5B3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6C077EA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7A9D5A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25D99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duty to consult – to community, not individual – </w:t>
            </w: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</w:t>
            </w:r>
          </w:p>
        </w:tc>
        <w:tc>
          <w:tcPr>
            <w:tcW w:w="510" w:type="dxa"/>
            <w:vAlign w:val="center"/>
          </w:tcPr>
          <w:p w14:paraId="791A3B6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E665A7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FD426C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76780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duty to consult – when duty arises – three conditions –</w:t>
            </w:r>
            <w:r>
              <w:rPr>
                <w:rFonts w:ascii="Arial Narrow Italic" w:hAnsi="Arial Narrow Italic"/>
                <w:sz w:val="20"/>
              </w:rPr>
              <w:t xml:space="preserve">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20E88BC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1446165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66E6B1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DF8C7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duty to consult – when triggered</w:t>
            </w:r>
          </w:p>
        </w:tc>
        <w:tc>
          <w:tcPr>
            <w:tcW w:w="510" w:type="dxa"/>
            <w:vAlign w:val="center"/>
          </w:tcPr>
          <w:p w14:paraId="631C563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51257E6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ED010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0F240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Aboriginal rights – extinguishment </w:t>
            </w:r>
            <w:r>
              <w:rPr>
                <w:rFonts w:ascii="Arial Narrow" w:hAnsi="Arial Narrow"/>
                <w:sz w:val="20"/>
              </w:rPr>
              <w:t xml:space="preserve">– federal government only – </w:t>
            </w:r>
            <w:r>
              <w:rPr>
                <w:rFonts w:ascii="Arial Narrow Italic" w:hAnsi="Arial Narrow Italic"/>
                <w:sz w:val="20"/>
              </w:rPr>
              <w:t>Constitution Act</w:t>
            </w:r>
            <w:r>
              <w:rPr>
                <w:rFonts w:ascii="Arial Narrow" w:hAnsi="Arial Narrow"/>
                <w:sz w:val="20"/>
              </w:rPr>
              <w:t>, s. 91(24)</w:t>
            </w:r>
          </w:p>
        </w:tc>
        <w:tc>
          <w:tcPr>
            <w:tcW w:w="510" w:type="dxa"/>
            <w:vAlign w:val="center"/>
          </w:tcPr>
          <w:p w14:paraId="60E4FB4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B87ABA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7A24D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06ED1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extinguishment – onus of proof</w:t>
            </w:r>
          </w:p>
        </w:tc>
        <w:tc>
          <w:tcPr>
            <w:tcW w:w="510" w:type="dxa"/>
            <w:vAlign w:val="center"/>
          </w:tcPr>
          <w:p w14:paraId="47C2934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0E98D14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9DB29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92F24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extinguishment – </w:t>
            </w:r>
            <w:r>
              <w:rPr>
                <w:rFonts w:ascii="Arial Narrow Italic" w:hAnsi="Arial Narrow Italic"/>
                <w:sz w:val="20"/>
              </w:rPr>
              <w:t>R. v. Sparrow</w:t>
            </w:r>
          </w:p>
        </w:tc>
        <w:tc>
          <w:tcPr>
            <w:tcW w:w="510" w:type="dxa"/>
            <w:vAlign w:val="center"/>
          </w:tcPr>
          <w:p w14:paraId="48656E7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64B17C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17815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C5543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extinguishment vs. regulation of Aboriginal or treaty rights</w:t>
            </w:r>
          </w:p>
        </w:tc>
        <w:tc>
          <w:tcPr>
            <w:tcW w:w="510" w:type="dxa"/>
            <w:vAlign w:val="center"/>
          </w:tcPr>
          <w:p w14:paraId="583CA68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9CDA67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50A35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CF23B3" w14:textId="77777777" w:rsidR="00A72EAE" w:rsidRPr="009E3C8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infringement – test – </w:t>
            </w:r>
            <w:r>
              <w:rPr>
                <w:rFonts w:ascii="Arial Narrow" w:hAnsi="Arial Narrow"/>
                <w:i/>
                <w:sz w:val="20"/>
              </w:rPr>
              <w:t>R. v. Sparrow</w:t>
            </w:r>
          </w:p>
        </w:tc>
        <w:tc>
          <w:tcPr>
            <w:tcW w:w="510" w:type="dxa"/>
            <w:vAlign w:val="center"/>
          </w:tcPr>
          <w:p w14:paraId="539950E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3BC1CE0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DC641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C05B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Aboriginal rights – justification – valid objectives include economic interests and development</w:t>
            </w:r>
          </w:p>
        </w:tc>
        <w:tc>
          <w:tcPr>
            <w:tcW w:w="510" w:type="dxa"/>
            <w:vAlign w:val="center"/>
          </w:tcPr>
          <w:p w14:paraId="4588509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1988523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06A04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D8FB1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justification of infringement – test – </w:t>
            </w:r>
            <w:r>
              <w:rPr>
                <w:rFonts w:ascii="Arial Narrow" w:hAnsi="Arial Narrow"/>
                <w:i/>
                <w:sz w:val="20"/>
              </w:rPr>
              <w:t>R v. Sparrow</w:t>
            </w:r>
          </w:p>
        </w:tc>
        <w:tc>
          <w:tcPr>
            <w:tcW w:w="510" w:type="dxa"/>
            <w:vAlign w:val="center"/>
          </w:tcPr>
          <w:p w14:paraId="7424C83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220D3C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0AF5D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381F0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Aboriginal rights – limits </w:t>
            </w:r>
            <w:r>
              <w:rPr>
                <w:rFonts w:ascii="Arial Narrow" w:hAnsi="Arial Narrow"/>
                <w:sz w:val="20"/>
              </w:rPr>
              <w:t xml:space="preserve">– Aboriginal title – valid objectives include economic interests and development </w:t>
            </w:r>
          </w:p>
        </w:tc>
        <w:tc>
          <w:tcPr>
            <w:tcW w:w="510" w:type="dxa"/>
            <w:vAlign w:val="center"/>
          </w:tcPr>
          <w:p w14:paraId="4A0B95E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3981B95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21E7D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AE413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limits – </w:t>
            </w:r>
            <w:proofErr w:type="spellStart"/>
            <w:r>
              <w:rPr>
                <w:rFonts w:ascii="Arial Narrow" w:hAnsi="Arial Narrow"/>
                <w:sz w:val="20"/>
              </w:rPr>
              <w:t>honour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of the Crown</w:t>
            </w:r>
          </w:p>
        </w:tc>
        <w:tc>
          <w:tcPr>
            <w:tcW w:w="510" w:type="dxa"/>
            <w:vAlign w:val="center"/>
          </w:tcPr>
          <w:p w14:paraId="12098AB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131C5CB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F1C49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C5469A" w14:textId="77777777" w:rsidR="00A72EAE" w:rsidRPr="009E3C8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limits – test – </w:t>
            </w:r>
            <w:r>
              <w:rPr>
                <w:rFonts w:ascii="Arial Narrow" w:hAnsi="Arial Narrow"/>
                <w:i/>
                <w:sz w:val="20"/>
              </w:rPr>
              <w:t>R v. Sparrow</w:t>
            </w:r>
          </w:p>
        </w:tc>
        <w:tc>
          <w:tcPr>
            <w:tcW w:w="510" w:type="dxa"/>
            <w:vAlign w:val="center"/>
          </w:tcPr>
          <w:p w14:paraId="79324A9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1965BD4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4CF42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482FF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Métis claims – </w:t>
            </w:r>
            <w:r>
              <w:rPr>
                <w:rFonts w:ascii="Arial Narrow Italic" w:hAnsi="Arial Narrow Italic"/>
                <w:sz w:val="20"/>
              </w:rPr>
              <w:t>R. v.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Powley</w:t>
            </w:r>
          </w:p>
        </w:tc>
        <w:tc>
          <w:tcPr>
            <w:tcW w:w="510" w:type="dxa"/>
            <w:vAlign w:val="center"/>
          </w:tcPr>
          <w:p w14:paraId="0B64DF3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37D300B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53102A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454F6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notice of constitutional question</w:t>
            </w:r>
          </w:p>
        </w:tc>
        <w:tc>
          <w:tcPr>
            <w:tcW w:w="510" w:type="dxa"/>
            <w:vAlign w:val="center"/>
          </w:tcPr>
          <w:p w14:paraId="1404464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030941E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5FCDF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40413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oral agreements – </w:t>
            </w:r>
            <w:r>
              <w:rPr>
                <w:rFonts w:ascii="Arial Narrow Italic" w:hAnsi="Arial Narrow Italic"/>
                <w:sz w:val="20"/>
              </w:rPr>
              <w:t>SEE also “Aboriginal rights – treaty interpretation”</w:t>
            </w:r>
          </w:p>
        </w:tc>
        <w:tc>
          <w:tcPr>
            <w:tcW w:w="510" w:type="dxa"/>
            <w:vAlign w:val="center"/>
          </w:tcPr>
          <w:p w14:paraId="0013162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745A5F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375E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1FD8B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remedies</w:t>
            </w:r>
            <w:r>
              <w:rPr>
                <w:rFonts w:ascii="Arial Narrow" w:hAnsi="Arial Narrow"/>
                <w:sz w:val="20"/>
              </w:rPr>
              <w:t xml:space="preserve"> – criminal or quasi-criminal – acquittal under s. 52</w:t>
            </w:r>
          </w:p>
        </w:tc>
        <w:tc>
          <w:tcPr>
            <w:tcW w:w="510" w:type="dxa"/>
            <w:vAlign w:val="center"/>
          </w:tcPr>
          <w:p w14:paraId="0DCA68E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9285AF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7545DF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2960E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compensation</w:t>
            </w:r>
          </w:p>
        </w:tc>
        <w:tc>
          <w:tcPr>
            <w:tcW w:w="510" w:type="dxa"/>
            <w:vAlign w:val="center"/>
          </w:tcPr>
          <w:p w14:paraId="257748D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6C3278E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E70DB7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A52A0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difficulty in obtaining injunctions</w:t>
            </w:r>
          </w:p>
        </w:tc>
        <w:tc>
          <w:tcPr>
            <w:tcW w:w="510" w:type="dxa"/>
            <w:vAlign w:val="center"/>
          </w:tcPr>
          <w:p w14:paraId="1D4A97A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51A8A93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3293F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9FD29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equitable remedies based on fiduciary duty</w:t>
            </w:r>
          </w:p>
        </w:tc>
        <w:tc>
          <w:tcPr>
            <w:tcW w:w="510" w:type="dxa"/>
            <w:vAlign w:val="center"/>
          </w:tcPr>
          <w:p w14:paraId="406003A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3E796BC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16E2F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069D24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remedies – land use disputes – remedies through duty to consult</w:t>
            </w:r>
          </w:p>
        </w:tc>
        <w:tc>
          <w:tcPr>
            <w:tcW w:w="510" w:type="dxa"/>
            <w:vAlign w:val="center"/>
          </w:tcPr>
          <w:p w14:paraId="26B3DBD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5D055A8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CC2011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13C3A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royal fiat – claims predating </w:t>
            </w:r>
            <w:r>
              <w:rPr>
                <w:rFonts w:ascii="Arial Narrow Italic" w:hAnsi="Arial Narrow Italic"/>
                <w:sz w:val="20"/>
              </w:rPr>
              <w:t xml:space="preserve">Proceeding Against the Crown Act </w:t>
            </w:r>
            <w:r>
              <w:rPr>
                <w:rFonts w:ascii="Arial Narrow" w:hAnsi="Arial Narrow"/>
                <w:sz w:val="20"/>
              </w:rPr>
              <w:t>1962</w:t>
            </w:r>
          </w:p>
        </w:tc>
        <w:tc>
          <w:tcPr>
            <w:tcW w:w="510" w:type="dxa"/>
            <w:vAlign w:val="center"/>
          </w:tcPr>
          <w:p w14:paraId="7045F1B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65743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EE1A35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AFAE8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test for identifying Aboriginal rights – </w:t>
            </w:r>
            <w:r>
              <w:rPr>
                <w:rFonts w:ascii="Arial Narrow Italic" w:hAnsi="Arial Narrow Italic"/>
                <w:sz w:val="20"/>
              </w:rPr>
              <w:t xml:space="preserve">R. v. Van der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Peet</w:t>
            </w:r>
            <w:proofErr w:type="spellEnd"/>
          </w:p>
        </w:tc>
        <w:tc>
          <w:tcPr>
            <w:tcW w:w="510" w:type="dxa"/>
            <w:vAlign w:val="center"/>
          </w:tcPr>
          <w:p w14:paraId="43C8856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7EB3B2D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01E50E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43754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title</w:t>
            </w:r>
            <w:r>
              <w:rPr>
                <w:rFonts w:ascii="Arial Narrow" w:hAnsi="Arial Narrow"/>
                <w:sz w:val="20"/>
              </w:rPr>
              <w:t xml:space="preserve"> – definition and content of Aboriginal title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Delgamuukw</w:t>
            </w:r>
            <w:proofErr w:type="spellEnd"/>
          </w:p>
        </w:tc>
        <w:tc>
          <w:tcPr>
            <w:tcW w:w="510" w:type="dxa"/>
            <w:vAlign w:val="center"/>
          </w:tcPr>
          <w:p w14:paraId="53F7F61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6AA9D35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8BAC43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13928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title – duty to consult as alternative to seeking injunction</w:t>
            </w:r>
          </w:p>
        </w:tc>
        <w:tc>
          <w:tcPr>
            <w:tcW w:w="510" w:type="dxa"/>
            <w:vAlign w:val="center"/>
          </w:tcPr>
          <w:p w14:paraId="67E822B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F89E8F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49D4E7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072BB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Aboriginal rights – treaty interpretation</w:t>
            </w:r>
            <w:r>
              <w:rPr>
                <w:rFonts w:ascii="Arial Narrow" w:hAnsi="Arial Narrow"/>
                <w:sz w:val="20"/>
              </w:rPr>
              <w:t xml:space="preserve"> – extrinsic evidence – </w:t>
            </w:r>
            <w:r>
              <w:rPr>
                <w:rFonts w:ascii="Arial Narrow Italic" w:hAnsi="Arial Narrow Italic"/>
                <w:sz w:val="20"/>
              </w:rPr>
              <w:t>R. v. Marshall</w:t>
            </w:r>
          </w:p>
        </w:tc>
        <w:tc>
          <w:tcPr>
            <w:tcW w:w="510" w:type="dxa"/>
            <w:vAlign w:val="center"/>
          </w:tcPr>
          <w:p w14:paraId="1E24869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A4CEFE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E7804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D7C5F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Aboriginal rights – treaty interpretation – oral agreements</w:t>
            </w:r>
          </w:p>
        </w:tc>
        <w:tc>
          <w:tcPr>
            <w:tcW w:w="510" w:type="dxa"/>
            <w:vAlign w:val="center"/>
          </w:tcPr>
          <w:p w14:paraId="5DD302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030769F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D3021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42A3E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treaty interpretation – </w:t>
            </w:r>
            <w:r>
              <w:rPr>
                <w:rFonts w:ascii="Arial Narrow Italic" w:hAnsi="Arial Narrow Italic"/>
                <w:sz w:val="20"/>
              </w:rPr>
              <w:t>R. v. Badger, Marshall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 Italic" w:hAnsi="Arial Narrow Italic"/>
                <w:sz w:val="20"/>
              </w:rPr>
              <w:t>Simon, Sundown</w:t>
            </w:r>
          </w:p>
        </w:tc>
        <w:tc>
          <w:tcPr>
            <w:tcW w:w="510" w:type="dxa"/>
            <w:vAlign w:val="center"/>
          </w:tcPr>
          <w:p w14:paraId="3096BDD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1FCE02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CE302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772E2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treaty interpretation –incidental rights – </w:t>
            </w:r>
            <w:r>
              <w:rPr>
                <w:rFonts w:ascii="Arial Narrow Italic" w:hAnsi="Arial Narrow Italic"/>
                <w:sz w:val="20"/>
              </w:rPr>
              <w:t>R. v. Simon, Sundown</w:t>
            </w:r>
          </w:p>
        </w:tc>
        <w:tc>
          <w:tcPr>
            <w:tcW w:w="510" w:type="dxa"/>
            <w:vAlign w:val="center"/>
          </w:tcPr>
          <w:p w14:paraId="0932225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35B9EA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5E8C0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D5771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rights – what is protected – rights in existence when </w:t>
            </w:r>
            <w:r>
              <w:rPr>
                <w:rFonts w:ascii="Arial Narrow Italic" w:hAnsi="Arial Narrow Italic"/>
                <w:sz w:val="20"/>
              </w:rPr>
              <w:t>Constitution Act, 1982</w:t>
            </w:r>
            <w:r>
              <w:rPr>
                <w:rFonts w:ascii="Arial Narrow" w:hAnsi="Arial Narrow"/>
                <w:sz w:val="20"/>
              </w:rPr>
              <w:t xml:space="preserve"> came into effect</w:t>
            </w:r>
          </w:p>
        </w:tc>
        <w:tc>
          <w:tcPr>
            <w:tcW w:w="510" w:type="dxa"/>
            <w:vAlign w:val="center"/>
          </w:tcPr>
          <w:p w14:paraId="0745A12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1544A7D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1B081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39211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Aboriginal treaties – </w:t>
            </w:r>
            <w:r>
              <w:rPr>
                <w:rFonts w:ascii="Arial Narrow Italic" w:hAnsi="Arial Narrow Italic"/>
                <w:sz w:val="20"/>
              </w:rPr>
              <w:t>SEE “Aboriginal rights – treaty interpretation”</w:t>
            </w:r>
          </w:p>
        </w:tc>
        <w:tc>
          <w:tcPr>
            <w:tcW w:w="510" w:type="dxa"/>
            <w:vAlign w:val="center"/>
          </w:tcPr>
          <w:p w14:paraId="23B70DB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0957B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4CFD37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75F89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AC v. Manitoba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as interpretative tool</w:t>
            </w:r>
          </w:p>
        </w:tc>
        <w:tc>
          <w:tcPr>
            <w:tcW w:w="510" w:type="dxa"/>
            <w:vAlign w:val="center"/>
          </w:tcPr>
          <w:p w14:paraId="67CE338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C9BEC9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F0507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F147A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Access to Information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ATIA</w:t>
            </w:r>
            <w:r>
              <w:rPr>
                <w:rFonts w:ascii="Arial Narrow" w:hAnsi="Arial Narrow"/>
                <w:sz w:val="20"/>
              </w:rPr>
              <w:t xml:space="preserve">) – federal – </w:t>
            </w:r>
            <w:r>
              <w:rPr>
                <w:rFonts w:ascii="Arial Narrow Italic" w:hAnsi="Arial Narrow Italic"/>
                <w:sz w:val="20"/>
              </w:rPr>
              <w:t>SEE “Freedom of information”</w:t>
            </w:r>
          </w:p>
        </w:tc>
        <w:tc>
          <w:tcPr>
            <w:tcW w:w="510" w:type="dxa"/>
            <w:vAlign w:val="center"/>
          </w:tcPr>
          <w:p w14:paraId="7A5621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5546FA8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41625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06FE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Action vs. application – constitutional litigation –</w:t>
            </w:r>
            <w:r>
              <w:rPr>
                <w:rFonts w:ascii="Arial Narrow Italic" w:hAnsi="Arial Narrow Italic"/>
                <w:sz w:val="20"/>
              </w:rPr>
              <w:t xml:space="preserve"> SEE also “Constitutional procedure”</w:t>
            </w:r>
          </w:p>
        </w:tc>
        <w:tc>
          <w:tcPr>
            <w:tcW w:w="510" w:type="dxa"/>
            <w:vAlign w:val="center"/>
          </w:tcPr>
          <w:p w14:paraId="6A6DDF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1434522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7876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665CD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Adjudicative facts – vs. legislative facts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context</w:t>
            </w:r>
          </w:p>
        </w:tc>
        <w:tc>
          <w:tcPr>
            <w:tcW w:w="510" w:type="dxa"/>
            <w:vAlign w:val="center"/>
          </w:tcPr>
          <w:p w14:paraId="4304E858" w14:textId="77777777" w:rsidR="00A72EAE" w:rsidRDefault="00A72EAE" w:rsidP="00430FCB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2E5246F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B6BD0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6BA14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Admin law – </w:t>
            </w:r>
            <w:r>
              <w:rPr>
                <w:rFonts w:ascii="Arial Narrow" w:hAnsi="Arial Narrow"/>
                <w:sz w:val="20"/>
              </w:rPr>
              <w:t>definition</w:t>
            </w:r>
          </w:p>
        </w:tc>
        <w:tc>
          <w:tcPr>
            <w:tcW w:w="510" w:type="dxa"/>
            <w:vAlign w:val="center"/>
          </w:tcPr>
          <w:p w14:paraId="51161F3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8B9653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3895DD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1F5F1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factors in development of</w:t>
            </w:r>
          </w:p>
        </w:tc>
        <w:tc>
          <w:tcPr>
            <w:tcW w:w="510" w:type="dxa"/>
            <w:vAlign w:val="center"/>
          </w:tcPr>
          <w:p w14:paraId="188ED28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3A2FB6E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1DDDB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E0EBD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jurisdiction – provincial court vs. Federal Court</w:t>
            </w:r>
          </w:p>
        </w:tc>
        <w:tc>
          <w:tcPr>
            <w:tcW w:w="510" w:type="dxa"/>
            <w:vAlign w:val="center"/>
          </w:tcPr>
          <w:p w14:paraId="6AC4C4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19AA35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CA35BA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32E1C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principles – general</w:t>
            </w:r>
          </w:p>
        </w:tc>
        <w:tc>
          <w:tcPr>
            <w:tcW w:w="510" w:type="dxa"/>
            <w:vAlign w:val="center"/>
          </w:tcPr>
          <w:p w14:paraId="660D649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2AD8DD0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32609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FF41C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recent trends – two fundamental elements</w:t>
            </w:r>
          </w:p>
        </w:tc>
        <w:tc>
          <w:tcPr>
            <w:tcW w:w="510" w:type="dxa"/>
            <w:vAlign w:val="center"/>
          </w:tcPr>
          <w:p w14:paraId="388A2BC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27BF5B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00130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57AD6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source of power vs. nature of body</w:t>
            </w:r>
          </w:p>
        </w:tc>
        <w:tc>
          <w:tcPr>
            <w:tcW w:w="510" w:type="dxa"/>
            <w:vAlign w:val="center"/>
          </w:tcPr>
          <w:p w14:paraId="5FA510D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A8373E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723B4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B0FC7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law – when the principles apply</w:t>
            </w:r>
          </w:p>
        </w:tc>
        <w:tc>
          <w:tcPr>
            <w:tcW w:w="510" w:type="dxa"/>
            <w:vAlign w:val="center"/>
          </w:tcPr>
          <w:p w14:paraId="48D37B7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7434581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9335B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D29BC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Admin tribunals – </w:t>
            </w:r>
            <w:r>
              <w:rPr>
                <w:rFonts w:ascii="Arial Narrow" w:hAnsi="Arial Narrow"/>
                <w:sz w:val="20"/>
              </w:rPr>
              <w:t xml:space="preserve">ability to consider constitutional matters – </w:t>
            </w:r>
            <w:r>
              <w:rPr>
                <w:rFonts w:ascii="Arial Narrow Italic" w:hAnsi="Arial Narrow Italic"/>
                <w:sz w:val="20"/>
              </w:rPr>
              <w:t>SEE “Constitutional procedure – admin tribunals”</w:t>
            </w:r>
          </w:p>
        </w:tc>
        <w:tc>
          <w:tcPr>
            <w:tcW w:w="510" w:type="dxa"/>
            <w:vAlign w:val="center"/>
          </w:tcPr>
          <w:p w14:paraId="5DAE11B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79EB0BD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210D6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3CCBA5" w14:textId="77777777" w:rsidR="00A72EAE" w:rsidRPr="001A0B1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ability to consider questions of law – provincial human rights legislation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</w:p>
        </w:tc>
        <w:tc>
          <w:tcPr>
            <w:tcW w:w="510" w:type="dxa"/>
            <w:vAlign w:val="center"/>
          </w:tcPr>
          <w:p w14:paraId="015D690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77934DE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A15CA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0D3145" w14:textId="77777777" w:rsidR="00A72EAE" w:rsidRPr="00771D73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accessing prior decisions</w:t>
            </w:r>
          </w:p>
        </w:tc>
        <w:tc>
          <w:tcPr>
            <w:tcW w:w="510" w:type="dxa"/>
            <w:vAlign w:val="center"/>
          </w:tcPr>
          <w:p w14:paraId="7927E4A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0A7BCA8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8DF373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17BCA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legislation</w:t>
            </w:r>
          </w:p>
        </w:tc>
        <w:tc>
          <w:tcPr>
            <w:tcW w:w="510" w:type="dxa"/>
            <w:vAlign w:val="center"/>
          </w:tcPr>
          <w:p w14:paraId="46ADD7A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636A1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285AC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56394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materials to examine before the hearing</w:t>
            </w:r>
          </w:p>
        </w:tc>
        <w:tc>
          <w:tcPr>
            <w:tcW w:w="510" w:type="dxa"/>
            <w:vAlign w:val="center"/>
          </w:tcPr>
          <w:p w14:paraId="24DF719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  <w:p w14:paraId="2B168F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1B9261B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  <w:p w14:paraId="59BBBE7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B4CF51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348DF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motions – different than motions in civil court</w:t>
            </w:r>
          </w:p>
        </w:tc>
        <w:tc>
          <w:tcPr>
            <w:tcW w:w="510" w:type="dxa"/>
            <w:vAlign w:val="center"/>
          </w:tcPr>
          <w:p w14:paraId="54380C2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053848C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1956D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63B51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no inherent jurisdiction</w:t>
            </w:r>
          </w:p>
        </w:tc>
        <w:tc>
          <w:tcPr>
            <w:tcW w:w="510" w:type="dxa"/>
            <w:vAlign w:val="center"/>
          </w:tcPr>
          <w:p w14:paraId="3628357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3F97C97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D5D4D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244F5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policies or practice directions</w:t>
            </w:r>
          </w:p>
        </w:tc>
        <w:tc>
          <w:tcPr>
            <w:tcW w:w="510" w:type="dxa"/>
            <w:vAlign w:val="center"/>
          </w:tcPr>
          <w:p w14:paraId="5C03A38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2A5485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EF2E4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538A75" w14:textId="77777777" w:rsidR="00A72EAE" w:rsidRPr="00506E61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policies or practice directions – Human Rights Tribunal consideration</w:t>
            </w:r>
          </w:p>
        </w:tc>
        <w:tc>
          <w:tcPr>
            <w:tcW w:w="510" w:type="dxa"/>
            <w:vAlign w:val="center"/>
          </w:tcPr>
          <w:p w14:paraId="5EF38D7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4087A5D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6BE07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39CA0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Admin tribunals – regulations; by-laws</w:t>
            </w:r>
          </w:p>
        </w:tc>
        <w:tc>
          <w:tcPr>
            <w:tcW w:w="510" w:type="dxa"/>
            <w:vAlign w:val="center"/>
          </w:tcPr>
          <w:p w14:paraId="3F09658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6689FD0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FDC85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39993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rules </w:t>
            </w:r>
            <w:r>
              <w:rPr>
                <w:rFonts w:ascii="Arial Narrow Italic" w:hAnsi="Arial Narrow Italic"/>
                <w:sz w:val="20"/>
              </w:rPr>
              <w:t>– SEE “SPPA – rules”</w:t>
            </w:r>
          </w:p>
        </w:tc>
        <w:tc>
          <w:tcPr>
            <w:tcW w:w="510" w:type="dxa"/>
            <w:vAlign w:val="center"/>
          </w:tcPr>
          <w:p w14:paraId="63B8C31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4221A5A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953466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013CC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 tribunals – tribunals covered by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4C856C9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35A3D5F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DA5CBC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C0E50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Administration of justice – provincial power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151F81A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74BCE4E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1029C0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87801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4.8</w:t>
            </w:r>
          </w:p>
        </w:tc>
        <w:tc>
          <w:tcPr>
            <w:tcW w:w="510" w:type="dxa"/>
            <w:vAlign w:val="center"/>
          </w:tcPr>
          <w:p w14:paraId="654AA4C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7BA195F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8F863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2902C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Aggrieved person – JR – standing at common law</w:t>
            </w:r>
          </w:p>
        </w:tc>
        <w:tc>
          <w:tcPr>
            <w:tcW w:w="510" w:type="dxa"/>
            <w:vAlign w:val="center"/>
          </w:tcPr>
          <w:p w14:paraId="2C5C494A" w14:textId="77777777" w:rsidR="00A72EAE" w:rsidRDefault="00A72EAE" w:rsidP="00477B3E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6B74554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B3F2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1C758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Appeal – difference between JR and appeal</w:t>
            </w:r>
          </w:p>
        </w:tc>
        <w:tc>
          <w:tcPr>
            <w:tcW w:w="510" w:type="dxa"/>
            <w:vAlign w:val="center"/>
          </w:tcPr>
          <w:p w14:paraId="0AD6484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599FFCD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ADF7B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7DAB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Appeal – standard of review on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Housen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Nikolaisen</w:t>
            </w:r>
            <w:proofErr w:type="spellEnd"/>
          </w:p>
        </w:tc>
        <w:tc>
          <w:tcPr>
            <w:tcW w:w="510" w:type="dxa"/>
            <w:vAlign w:val="center"/>
          </w:tcPr>
          <w:p w14:paraId="6B34B3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5FE1F77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E6F5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8468B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Arbitrary detention or imprisonment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9</w:t>
            </w:r>
          </w:p>
        </w:tc>
        <w:tc>
          <w:tcPr>
            <w:tcW w:w="510" w:type="dxa"/>
            <w:vAlign w:val="center"/>
          </w:tcPr>
          <w:p w14:paraId="74B26E1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C35CC2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A56A3D9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5565F669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B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3AB071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33BDB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479F6D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D8C33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Badger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(R. v.) </w:t>
            </w:r>
            <w:r>
              <w:rPr>
                <w:rFonts w:ascii="Arial Narrow" w:hAnsi="Arial Narrow"/>
                <w:sz w:val="20"/>
              </w:rPr>
              <w:t xml:space="preserve">– interpretation of Aboriginal treaties – </w:t>
            </w:r>
            <w:r>
              <w:rPr>
                <w:rFonts w:ascii="Arial Narrow Italic" w:hAnsi="Arial Narrow Italic"/>
                <w:sz w:val="20"/>
              </w:rPr>
              <w:t>SEE “Aboriginal rights – treaty interpretation”</w:t>
            </w:r>
          </w:p>
        </w:tc>
        <w:tc>
          <w:tcPr>
            <w:tcW w:w="510" w:type="dxa"/>
            <w:vAlign w:val="center"/>
          </w:tcPr>
          <w:p w14:paraId="5EC66A9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CF46A5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F804A1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2A84B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Baker</w:t>
            </w:r>
            <w:r>
              <w:rPr>
                <w:rFonts w:ascii="Arial Narrow Bold" w:hAnsi="Arial Narrow Bold"/>
                <w:sz w:val="20"/>
              </w:rPr>
              <w:t xml:space="preserve"> factors</w:t>
            </w:r>
            <w:r>
              <w:rPr>
                <w:rFonts w:ascii="Arial Narrow" w:hAnsi="Arial Narrow"/>
                <w:sz w:val="20"/>
              </w:rPr>
              <w:t xml:space="preserve"> – (1) nature of decision being made</w:t>
            </w:r>
          </w:p>
        </w:tc>
        <w:tc>
          <w:tcPr>
            <w:tcW w:w="510" w:type="dxa"/>
            <w:vAlign w:val="center"/>
          </w:tcPr>
          <w:p w14:paraId="5C33739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CE670C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8E409E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A84EF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(2) nature of statutory scheme </w:t>
            </w:r>
          </w:p>
        </w:tc>
        <w:tc>
          <w:tcPr>
            <w:tcW w:w="510" w:type="dxa"/>
            <w:vAlign w:val="center"/>
          </w:tcPr>
          <w:p w14:paraId="7EEA537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7E91C29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46C39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5DC3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(4) legitimate expectations of </w:t>
            </w:r>
            <w:r>
              <w:rPr>
                <w:rFonts w:ascii="Arial Narrow" w:hAnsi="Arial Narrow"/>
                <w:sz w:val="20"/>
              </w:rPr>
              <w:lastRenderedPageBreak/>
              <w:t>individual</w:t>
            </w:r>
          </w:p>
        </w:tc>
        <w:tc>
          <w:tcPr>
            <w:tcW w:w="510" w:type="dxa"/>
            <w:vAlign w:val="center"/>
          </w:tcPr>
          <w:p w14:paraId="6B3169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1BAAB34" w14:textId="77777777" w:rsidR="00A72EAE" w:rsidRPr="001317EF" w:rsidRDefault="00A72EAE" w:rsidP="003C0945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378A8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C9EED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(5) choice of procedure by agency</w:t>
            </w:r>
          </w:p>
        </w:tc>
        <w:tc>
          <w:tcPr>
            <w:tcW w:w="510" w:type="dxa"/>
            <w:vAlign w:val="center"/>
          </w:tcPr>
          <w:p w14:paraId="37DD75E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460185D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0FAD9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E9F751" w14:textId="77777777" w:rsidR="00A72EAE" w:rsidRPr="004C6C8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 v. Canada</w:t>
            </w:r>
            <w:r>
              <w:rPr>
                <w:rFonts w:ascii="Arial Narrow" w:hAnsi="Arial Narrow"/>
                <w:sz w:val="20"/>
              </w:rPr>
              <w:t xml:space="preserve"> – apprehension of bias – reasons for the decision</w:t>
            </w:r>
          </w:p>
        </w:tc>
        <w:tc>
          <w:tcPr>
            <w:tcW w:w="510" w:type="dxa"/>
            <w:vAlign w:val="center"/>
          </w:tcPr>
          <w:p w14:paraId="58C1953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158596E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25DCDE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74560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Baker v. Canada</w:t>
            </w:r>
            <w:r>
              <w:rPr>
                <w:rFonts w:ascii="Arial Narrow" w:hAnsi="Arial Narrow"/>
                <w:sz w:val="20"/>
              </w:rPr>
              <w:t xml:space="preserve"> – factors affecting content of duty of fairness</w:t>
            </w:r>
          </w:p>
        </w:tc>
        <w:tc>
          <w:tcPr>
            <w:tcW w:w="510" w:type="dxa"/>
            <w:vAlign w:val="center"/>
          </w:tcPr>
          <w:p w14:paraId="7415618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734B2BD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2D51E5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5270C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Band council decisions – JR –</w:t>
            </w:r>
            <w:r>
              <w:rPr>
                <w:rFonts w:ascii="Arial Narrow Italic" w:hAnsi="Arial Narrow Italic"/>
                <w:sz w:val="20"/>
              </w:rPr>
              <w:t xml:space="preserve"> SEE “JR – Aboriginal”</w:t>
            </w:r>
          </w:p>
        </w:tc>
        <w:tc>
          <w:tcPr>
            <w:tcW w:w="510" w:type="dxa"/>
            <w:vAlign w:val="center"/>
          </w:tcPr>
          <w:p w14:paraId="66BE87C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427" w:type="dxa"/>
            <w:vAlign w:val="center"/>
          </w:tcPr>
          <w:p w14:paraId="366B70D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DFC513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F9732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BC (Workers’ Comp. Board)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Figliola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matter not remitted to tribunal where result “inevitable”</w:t>
            </w:r>
          </w:p>
        </w:tc>
        <w:tc>
          <w:tcPr>
            <w:tcW w:w="510" w:type="dxa"/>
            <w:vAlign w:val="center"/>
          </w:tcPr>
          <w:p w14:paraId="00C2811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40DE5F5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4A9A9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C5852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 </w:t>
            </w:r>
            <w:r>
              <w:rPr>
                <w:rFonts w:ascii="Arial Narrow" w:hAnsi="Arial Narrow"/>
                <w:sz w:val="20"/>
              </w:rPr>
              <w:t>– Aboriginal rights – duty to consult</w:t>
            </w:r>
          </w:p>
        </w:tc>
        <w:tc>
          <w:tcPr>
            <w:tcW w:w="510" w:type="dxa"/>
            <w:vAlign w:val="center"/>
          </w:tcPr>
          <w:p w14:paraId="0B91E38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6D2EBB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CD202C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D3458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</w:t>
            </w:r>
          </w:p>
        </w:tc>
        <w:tc>
          <w:tcPr>
            <w:tcW w:w="510" w:type="dxa"/>
            <w:vAlign w:val="center"/>
          </w:tcPr>
          <w:p w14:paraId="03201A3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019ADB0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5EFFF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C1453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institutional – authorized by statutory scheme</w:t>
            </w:r>
          </w:p>
        </w:tc>
        <w:tc>
          <w:tcPr>
            <w:tcW w:w="510" w:type="dxa"/>
            <w:vAlign w:val="center"/>
          </w:tcPr>
          <w:p w14:paraId="0489D75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371684C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98B366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1ABFF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institutional – independence of DM – ousted by statutory language –</w:t>
            </w:r>
            <w:r>
              <w:rPr>
                <w:rFonts w:ascii="Arial Narrow Italic" w:hAnsi="Arial Narrow Italic"/>
                <w:sz w:val="20"/>
              </w:rPr>
              <w:t xml:space="preserve"> Ocean Port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Hotel</w:t>
            </w:r>
          </w:p>
        </w:tc>
        <w:tc>
          <w:tcPr>
            <w:tcW w:w="510" w:type="dxa"/>
            <w:vAlign w:val="center"/>
          </w:tcPr>
          <w:p w14:paraId="04427A9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056688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90BE4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CB1D6BD" w14:textId="77777777" w:rsidR="00A72EAE" w:rsidRPr="00D44812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– internal consultation – factors – </w:t>
            </w:r>
            <w:r>
              <w:rPr>
                <w:rFonts w:ascii="Arial Narrow" w:hAnsi="Arial Narrow"/>
                <w:i/>
                <w:sz w:val="20"/>
              </w:rPr>
              <w:t>Ellis-Don Ltd</w:t>
            </w:r>
          </w:p>
        </w:tc>
        <w:tc>
          <w:tcPr>
            <w:tcW w:w="510" w:type="dxa"/>
            <w:vAlign w:val="center"/>
          </w:tcPr>
          <w:p w14:paraId="4D88170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78E7756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FAD0D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E1526F" w14:textId="77777777" w:rsidR="00A72EAE" w:rsidRPr="00D677C9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– involvement in various functions – </w:t>
            </w:r>
            <w:r>
              <w:rPr>
                <w:rFonts w:ascii="Arial Narrow" w:hAnsi="Arial Narrow"/>
                <w:i/>
                <w:sz w:val="20"/>
              </w:rPr>
              <w:t>Gardner v. Ontario</w:t>
            </w:r>
          </w:p>
        </w:tc>
        <w:tc>
          <w:tcPr>
            <w:tcW w:w="510" w:type="dxa"/>
            <w:vAlign w:val="center"/>
          </w:tcPr>
          <w:p w14:paraId="10244A9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5B4E234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1FA4B7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E7E66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institutional – whether tribunal arrived at a preliminary judgment – </w:t>
            </w:r>
            <w:r>
              <w:rPr>
                <w:rFonts w:ascii="Arial Narrow Italic" w:hAnsi="Arial Narrow Italic"/>
                <w:sz w:val="20"/>
              </w:rPr>
              <w:t>WD Latimer</w:t>
            </w:r>
          </w:p>
        </w:tc>
        <w:tc>
          <w:tcPr>
            <w:tcW w:w="510" w:type="dxa"/>
            <w:vAlign w:val="center"/>
          </w:tcPr>
          <w:p w14:paraId="377E1FC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7C952D5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5530B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2DBF5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personal</w:t>
            </w:r>
          </w:p>
        </w:tc>
        <w:tc>
          <w:tcPr>
            <w:tcW w:w="510" w:type="dxa"/>
            <w:vAlign w:val="center"/>
          </w:tcPr>
          <w:p w14:paraId="48114AE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A73BE2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 w:rsidRPr="001317EF">
              <w:rPr>
                <w:rFonts w:ascii="Arial Narrow" w:hAnsi="Arial Narrow"/>
                <w:caps/>
                <w:sz w:val="20"/>
              </w:rPr>
              <w:t>c</w:t>
            </w:r>
          </w:p>
        </w:tc>
      </w:tr>
      <w:tr w:rsidR="00A72EAE" w14:paraId="0B32BC3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FA85A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remedy – decision void</w:t>
            </w:r>
          </w:p>
        </w:tc>
        <w:tc>
          <w:tcPr>
            <w:tcW w:w="510" w:type="dxa"/>
            <w:vAlign w:val="center"/>
          </w:tcPr>
          <w:p w14:paraId="0EE75C1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CC4F68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6714A57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6C3B2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source of apprehension of bias – disclosure by decision-maker </w:t>
            </w:r>
          </w:p>
        </w:tc>
        <w:tc>
          <w:tcPr>
            <w:tcW w:w="510" w:type="dxa"/>
            <w:vAlign w:val="center"/>
          </w:tcPr>
          <w:p w14:paraId="37268D4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D06C0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color w:val="4D0069"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038880A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1C25A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source of apprehension of bias – public statements of decision-maker – test</w:t>
            </w:r>
          </w:p>
        </w:tc>
        <w:tc>
          <w:tcPr>
            <w:tcW w:w="510" w:type="dxa"/>
            <w:vAlign w:val="center"/>
          </w:tcPr>
          <w:p w14:paraId="38DCB78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0679A3A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78A1208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BB9275" w14:textId="77777777" w:rsidR="00A72EAE" w:rsidRPr="003029A6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Bias (natural justice) – source of apprehension of bias – reasons for the decision – </w:t>
            </w:r>
            <w:r>
              <w:rPr>
                <w:rFonts w:ascii="Arial Narrow" w:hAnsi="Arial Narrow"/>
                <w:i/>
                <w:sz w:val="20"/>
              </w:rPr>
              <w:t>Baker v. Canada</w:t>
            </w:r>
          </w:p>
        </w:tc>
        <w:tc>
          <w:tcPr>
            <w:tcW w:w="510" w:type="dxa"/>
            <w:vAlign w:val="center"/>
          </w:tcPr>
          <w:p w14:paraId="04EE508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4594CD9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580F0D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69DE1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test – reasonable apprehension of bias</w:t>
            </w:r>
          </w:p>
        </w:tc>
        <w:tc>
          <w:tcPr>
            <w:tcW w:w="510" w:type="dxa"/>
            <w:vAlign w:val="center"/>
          </w:tcPr>
          <w:p w14:paraId="707A0CB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546CC0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B3005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82EE5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waiving right to allege bias – when to raise allegation</w:t>
            </w:r>
          </w:p>
        </w:tc>
        <w:tc>
          <w:tcPr>
            <w:tcW w:w="510" w:type="dxa"/>
            <w:vAlign w:val="center"/>
          </w:tcPr>
          <w:p w14:paraId="3DFEF82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79826A2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038A7B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5B985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Bias (natural justice) – when to raise allegation – waiving right to allege bias</w:t>
            </w:r>
          </w:p>
        </w:tc>
        <w:tc>
          <w:tcPr>
            <w:tcW w:w="510" w:type="dxa"/>
            <w:vAlign w:val="center"/>
          </w:tcPr>
          <w:p w14:paraId="00F0EA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3554714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2AB2C7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B93FC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</w:rPr>
              <w:t>Borowski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 (Attorney General) </w:t>
            </w:r>
            <w:r>
              <w:rPr>
                <w:rFonts w:ascii="Arial Narrow" w:hAnsi="Arial Narrow"/>
                <w:sz w:val="20"/>
              </w:rPr>
              <w:t>– constitutional procedure – mootness – determining mootness</w:t>
            </w:r>
          </w:p>
        </w:tc>
        <w:tc>
          <w:tcPr>
            <w:tcW w:w="510" w:type="dxa"/>
            <w:vAlign w:val="center"/>
          </w:tcPr>
          <w:p w14:paraId="47CFEBF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0E9CA6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35953B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9F9AB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Brandeis briefs 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placing social science evidence before court </w:t>
            </w:r>
          </w:p>
        </w:tc>
        <w:tc>
          <w:tcPr>
            <w:tcW w:w="510" w:type="dxa"/>
            <w:vAlign w:val="center"/>
          </w:tcPr>
          <w:p w14:paraId="30FE19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1F27C2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5E799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EC6D3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British Columbia Motor Vehicle Act (Re)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constitutional debates not dispositive </w:t>
            </w:r>
          </w:p>
        </w:tc>
        <w:tc>
          <w:tcPr>
            <w:tcW w:w="510" w:type="dxa"/>
            <w:vAlign w:val="center"/>
          </w:tcPr>
          <w:p w14:paraId="1D26AE8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0011DF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02211DB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50EB096A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lastRenderedPageBreak/>
              <w:t>C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3D513C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064A5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16B58A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13DC3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Cadeddu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 xml:space="preserve">– duty of fairness – influence of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principles</w:t>
            </w:r>
          </w:p>
        </w:tc>
        <w:tc>
          <w:tcPr>
            <w:tcW w:w="510" w:type="dxa"/>
            <w:vAlign w:val="center"/>
          </w:tcPr>
          <w:p w14:paraId="62F43A8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4E75C28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607F88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A012B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(AG) v. PHS Community Services Society </w:t>
            </w:r>
            <w:r>
              <w:rPr>
                <w:rFonts w:ascii="Arial Narrow" w:hAnsi="Arial Narrow"/>
                <w:sz w:val="20"/>
              </w:rPr>
              <w:t>– division of powers – overlap between federal and provincial realms</w:t>
            </w:r>
          </w:p>
        </w:tc>
        <w:tc>
          <w:tcPr>
            <w:tcW w:w="510" w:type="dxa"/>
            <w:vAlign w:val="center"/>
          </w:tcPr>
          <w:p w14:paraId="10FB0E8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0A68802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D75007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D5657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(AG) v. PHS Community Services Society </w:t>
            </w:r>
            <w:r>
              <w:rPr>
                <w:rFonts w:ascii="Arial Narrow" w:hAnsi="Arial Narrow"/>
                <w:sz w:val="20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</w:rPr>
              <w:t>Insite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)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mandatory injunction</w:t>
            </w:r>
          </w:p>
        </w:tc>
        <w:tc>
          <w:tcPr>
            <w:tcW w:w="510" w:type="dxa"/>
            <w:vAlign w:val="center"/>
          </w:tcPr>
          <w:p w14:paraId="47A3A3E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6BD3F54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1B775C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9F3862" w14:textId="77777777" w:rsidR="00A72EAE" w:rsidRPr="00EA772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(Attorney General) v. Bedford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use of precedent – </w:t>
            </w:r>
            <w:r>
              <w:rPr>
                <w:rFonts w:ascii="Arial Narrow" w:hAnsi="Arial Narrow"/>
                <w:b/>
                <w:sz w:val="20"/>
              </w:rPr>
              <w:t>*addendum</w:t>
            </w:r>
          </w:p>
        </w:tc>
        <w:tc>
          <w:tcPr>
            <w:tcW w:w="510" w:type="dxa"/>
            <w:vAlign w:val="center"/>
          </w:tcPr>
          <w:p w14:paraId="1342E41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0834193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41221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2DE1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(Citizenship and Immigration)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Khosa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JR – standard of review – statute provides standard as patent unreasonableness</w:t>
            </w:r>
          </w:p>
        </w:tc>
        <w:tc>
          <w:tcPr>
            <w:tcW w:w="510" w:type="dxa"/>
            <w:vAlign w:val="center"/>
          </w:tcPr>
          <w:p w14:paraId="294044D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219ECC5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2D30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A32EF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(PM)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Khadr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Crown prerogative</w:t>
            </w:r>
          </w:p>
        </w:tc>
        <w:tc>
          <w:tcPr>
            <w:tcW w:w="510" w:type="dxa"/>
            <w:vAlign w:val="center"/>
          </w:tcPr>
          <w:p w14:paraId="5D4E4F6A" w14:textId="77777777" w:rsidR="00A72EAE" w:rsidRDefault="00A72EAE" w:rsidP="00430FCB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2049757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75CD4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A699C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Mortgage and Housing Corp.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Iness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admin law power limited by division of powers</w:t>
            </w:r>
          </w:p>
        </w:tc>
        <w:tc>
          <w:tcPr>
            <w:tcW w:w="510" w:type="dxa"/>
            <w:vAlign w:val="center"/>
          </w:tcPr>
          <w:p w14:paraId="5766A0F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173A019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110A1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59C49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Hislop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retroactive effect of equality provision</w:t>
            </w:r>
          </w:p>
        </w:tc>
        <w:tc>
          <w:tcPr>
            <w:tcW w:w="510" w:type="dxa"/>
            <w:vAlign w:val="center"/>
          </w:tcPr>
          <w:p w14:paraId="21D82A6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CDF7ED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920F6A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BDF3D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Canadian Western Bank v. Alberta</w:t>
            </w:r>
            <w:r>
              <w:rPr>
                <w:rFonts w:ascii="Arial Narrow" w:hAnsi="Arial Narrow"/>
                <w:sz w:val="20"/>
              </w:rPr>
              <w:t xml:space="preserve"> – division of powers – inter-jurisdictional immunity</w:t>
            </w:r>
          </w:p>
        </w:tc>
        <w:tc>
          <w:tcPr>
            <w:tcW w:w="510" w:type="dxa"/>
            <w:vAlign w:val="center"/>
          </w:tcPr>
          <w:p w14:paraId="2740823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70D0E65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0C3EC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A2A80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SEE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Rio Tinto Alcan v.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Tribal Council</w:t>
            </w:r>
          </w:p>
        </w:tc>
        <w:tc>
          <w:tcPr>
            <w:tcW w:w="510" w:type="dxa"/>
            <w:vAlign w:val="center"/>
          </w:tcPr>
          <w:p w14:paraId="1B15D69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FD6067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AA0E7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6757E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Catholic school funding in ON – required under </w:t>
            </w:r>
            <w:r>
              <w:rPr>
                <w:rFonts w:ascii="Arial Narrow Italic" w:hAnsi="Arial Narrow Italic"/>
                <w:sz w:val="20"/>
              </w:rPr>
              <w:t xml:space="preserve">Constitution Act, 1867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SEE also “Division of powers – education”</w:t>
            </w:r>
          </w:p>
        </w:tc>
        <w:tc>
          <w:tcPr>
            <w:tcW w:w="510" w:type="dxa"/>
            <w:vAlign w:val="center"/>
          </w:tcPr>
          <w:p w14:paraId="12A37F3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25548CC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9468D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FA4A2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Central Ontario Coalition Concerning Hydro (Re)</w:t>
            </w:r>
            <w:r>
              <w:rPr>
                <w:rFonts w:ascii="Arial Narrow" w:hAnsi="Arial Narrow"/>
                <w:sz w:val="20"/>
              </w:rPr>
              <w:t xml:space="preserve"> – natural justice – adequate notice </w:t>
            </w:r>
          </w:p>
        </w:tc>
        <w:tc>
          <w:tcPr>
            <w:tcW w:w="510" w:type="dxa"/>
            <w:vAlign w:val="center"/>
          </w:tcPr>
          <w:p w14:paraId="49FB2F8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45B2FD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43F7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9E8FBB" w14:textId="77777777" w:rsidR="00A72EAE" w:rsidRPr="005D734C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Certiorari </w:t>
            </w:r>
            <w:r>
              <w:rPr>
                <w:rFonts w:ascii="Arial Narrow" w:hAnsi="Arial Narrow"/>
                <w:sz w:val="20"/>
              </w:rPr>
              <w:t>– JR – relief available – prerogative</w:t>
            </w:r>
          </w:p>
        </w:tc>
        <w:tc>
          <w:tcPr>
            <w:tcW w:w="510" w:type="dxa"/>
            <w:vAlign w:val="center"/>
          </w:tcPr>
          <w:p w14:paraId="37FCC89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77A7D93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62F22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6F6DF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Aboriginal rights – s. 35 rights vs.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rights – </w:t>
            </w:r>
            <w:r>
              <w:rPr>
                <w:rFonts w:ascii="Arial Narrow Italic" w:hAnsi="Arial Narrow Italic"/>
                <w:sz w:val="20"/>
              </w:rPr>
              <w:t>SEE also “Aboriginal rights – Charter interaction”</w:t>
            </w:r>
          </w:p>
        </w:tc>
        <w:tc>
          <w:tcPr>
            <w:tcW w:w="510" w:type="dxa"/>
            <w:vAlign w:val="center"/>
          </w:tcPr>
          <w:p w14:paraId="54DA821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DBE3CC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D4D4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51DBA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admin tribunals – proving that tribunal has jurisdiction to consider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issue</w:t>
            </w:r>
          </w:p>
        </w:tc>
        <w:tc>
          <w:tcPr>
            <w:tcW w:w="510" w:type="dxa"/>
            <w:vAlign w:val="center"/>
          </w:tcPr>
          <w:p w14:paraId="146568B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116F31C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25E0DA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E0FB8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application</w:t>
            </w:r>
            <w:r>
              <w:rPr>
                <w:rFonts w:ascii="Arial Narrow" w:hAnsi="Arial Narrow"/>
                <w:sz w:val="20"/>
              </w:rPr>
              <w:t xml:space="preserve"> – activity that is “governmental” in nature – </w:t>
            </w:r>
            <w:r>
              <w:rPr>
                <w:rFonts w:ascii="Arial Narrow Italic" w:hAnsi="Arial Narrow Italic"/>
                <w:sz w:val="20"/>
              </w:rPr>
              <w:t>Eldridge v. BC</w:t>
            </w:r>
          </w:p>
        </w:tc>
        <w:tc>
          <w:tcPr>
            <w:tcW w:w="510" w:type="dxa"/>
            <w:vAlign w:val="center"/>
          </w:tcPr>
          <w:p w14:paraId="2E1EC3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6D2FEB2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3481FC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3F176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common law – can be challenged where inconsistent with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values</w:t>
            </w:r>
          </w:p>
        </w:tc>
        <w:tc>
          <w:tcPr>
            <w:tcW w:w="510" w:type="dxa"/>
            <w:vAlign w:val="center"/>
          </w:tcPr>
          <w:p w14:paraId="087108A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7364F64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EC2F0B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F84BB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extraterritorial, if international obligation violated</w:t>
            </w:r>
          </w:p>
        </w:tc>
        <w:tc>
          <w:tcPr>
            <w:tcW w:w="510" w:type="dxa"/>
            <w:vAlign w:val="center"/>
          </w:tcPr>
          <w:p w14:paraId="507E9D2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2460C06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27E266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994B2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government action, not private action</w:t>
            </w:r>
          </w:p>
        </w:tc>
        <w:tc>
          <w:tcPr>
            <w:tcW w:w="510" w:type="dxa"/>
            <w:vAlign w:val="center"/>
          </w:tcPr>
          <w:p w14:paraId="1EE543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5C6CBC3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CC51C8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94511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human rights commissions, public transit agencies, municipalities</w:t>
            </w:r>
          </w:p>
        </w:tc>
        <w:tc>
          <w:tcPr>
            <w:tcW w:w="510" w:type="dxa"/>
            <w:vAlign w:val="center"/>
          </w:tcPr>
          <w:p w14:paraId="70F82CC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7BDBDD4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D76140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0E3326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proving government action </w:t>
            </w:r>
            <w:r>
              <w:rPr>
                <w:rFonts w:ascii="Arial Narrow" w:hAnsi="Arial Narrow"/>
                <w:sz w:val="20"/>
              </w:rPr>
              <w:lastRenderedPageBreak/>
              <w:t>under s. 32</w:t>
            </w:r>
          </w:p>
        </w:tc>
        <w:tc>
          <w:tcPr>
            <w:tcW w:w="510" w:type="dxa"/>
            <w:vAlign w:val="center"/>
          </w:tcPr>
          <w:p w14:paraId="571102A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429F1F0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2E92B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EB2B2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universities, hospitals, </w:t>
            </w:r>
            <w:proofErr w:type="spellStart"/>
            <w:r>
              <w:rPr>
                <w:rFonts w:ascii="Arial Narrow" w:hAnsi="Arial Narrow"/>
                <w:sz w:val="20"/>
              </w:rPr>
              <w:t>labour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unions, school boards, colleges</w:t>
            </w:r>
          </w:p>
        </w:tc>
        <w:tc>
          <w:tcPr>
            <w:tcW w:w="510" w:type="dxa"/>
            <w:vAlign w:val="center"/>
          </w:tcPr>
          <w:p w14:paraId="09E2820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51A4309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50066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34109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– who is protected – contingent on specific right</w:t>
            </w:r>
          </w:p>
        </w:tc>
        <w:tc>
          <w:tcPr>
            <w:tcW w:w="510" w:type="dxa"/>
            <w:vAlign w:val="center"/>
          </w:tcPr>
          <w:p w14:paraId="766D9E2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6659904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7F61F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75C2F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application to corporations – LLSP (s. 7)</w:t>
            </w:r>
          </w:p>
        </w:tc>
        <w:tc>
          <w:tcPr>
            <w:tcW w:w="510" w:type="dxa"/>
            <w:vAlign w:val="center"/>
          </w:tcPr>
          <w:p w14:paraId="7FC5191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75FF99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A7F34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2AB85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arbitrary detention or imprisonment – s. 9</w:t>
            </w:r>
          </w:p>
        </w:tc>
        <w:tc>
          <w:tcPr>
            <w:tcW w:w="510" w:type="dxa"/>
            <w:vAlign w:val="center"/>
          </w:tcPr>
          <w:p w14:paraId="29EEE9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D7347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E1BD49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151083" w14:textId="77777777" w:rsidR="00A72EAE" w:rsidRPr="009D2B8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" w:hAnsi="Arial Narrow"/>
                <w:i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remedies – s. 52 – reading in and reading down</w:t>
            </w:r>
          </w:p>
        </w:tc>
        <w:tc>
          <w:tcPr>
            <w:tcW w:w="510" w:type="dxa"/>
            <w:vAlign w:val="center"/>
          </w:tcPr>
          <w:p w14:paraId="0C2763D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5E2EA27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D8578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B7C6D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constitutional exemption – remedies under s. 52</w:t>
            </w:r>
          </w:p>
        </w:tc>
        <w:tc>
          <w:tcPr>
            <w:tcW w:w="510" w:type="dxa"/>
            <w:vAlign w:val="center"/>
          </w:tcPr>
          <w:p w14:paraId="415467C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5E1EC55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C0DFC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66845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costs – proving costs</w:t>
            </w:r>
          </w:p>
        </w:tc>
        <w:tc>
          <w:tcPr>
            <w:tcW w:w="510" w:type="dxa"/>
            <w:vAlign w:val="center"/>
          </w:tcPr>
          <w:p w14:paraId="4BF0A6B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6A37DC5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5B9DD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AE11A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court of competent jurisdiction – s. 24 remedies</w:t>
            </w:r>
          </w:p>
        </w:tc>
        <w:tc>
          <w:tcPr>
            <w:tcW w:w="510" w:type="dxa"/>
            <w:vAlign w:val="center"/>
          </w:tcPr>
          <w:p w14:paraId="13E90F6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6F0108C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4BDD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77692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criminal justice rights – application in varied contexts, e.g. immigration and extradition</w:t>
            </w:r>
          </w:p>
        </w:tc>
        <w:tc>
          <w:tcPr>
            <w:tcW w:w="510" w:type="dxa"/>
            <w:vAlign w:val="center"/>
          </w:tcPr>
          <w:p w14:paraId="7E0937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2ADEC3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362C4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8B1FA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criminal justice rights – ss. 8-14</w:t>
            </w:r>
          </w:p>
          <w:p w14:paraId="7649541A" w14:textId="77777777" w:rsidR="00A72EAE" w:rsidRDefault="00A72EAE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Unreasonable search or seizure, s. 8</w:t>
            </w:r>
          </w:p>
          <w:p w14:paraId="762C69DF" w14:textId="77777777" w:rsidR="00A72EAE" w:rsidRDefault="00A72EAE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Arbitrary detention, s. 9</w:t>
            </w:r>
          </w:p>
          <w:p w14:paraId="20E67697" w14:textId="77777777" w:rsidR="00A72EAE" w:rsidRDefault="00A72EAE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Rights upon arrest, including </w:t>
            </w:r>
            <w:r>
              <w:rPr>
                <w:rFonts w:ascii="Arial Narrow Italic" w:hAnsi="Arial Narrow Italic"/>
                <w:sz w:val="20"/>
              </w:rPr>
              <w:t>habeas corpus,</w:t>
            </w:r>
            <w:r>
              <w:rPr>
                <w:rFonts w:ascii="Arial Narrow" w:hAnsi="Arial Narrow"/>
                <w:sz w:val="20"/>
              </w:rPr>
              <w:t xml:space="preserve"> s. 10</w:t>
            </w:r>
          </w:p>
          <w:p w14:paraId="44604BF5" w14:textId="77777777" w:rsidR="00A72EAE" w:rsidRDefault="00A72EAE" w:rsidP="00BB299D">
            <w:pPr>
              <w:numPr>
                <w:ilvl w:val="0"/>
                <w:numId w:val="2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Cruel and unusual treatment, s. 12</w:t>
            </w:r>
          </w:p>
        </w:tc>
        <w:tc>
          <w:tcPr>
            <w:tcW w:w="510" w:type="dxa"/>
            <w:vAlign w:val="center"/>
          </w:tcPr>
          <w:p w14:paraId="3D4ECC5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1301493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3CD8D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1D514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cruel and unusual treatment or punishment – s. 12</w:t>
            </w:r>
          </w:p>
        </w:tc>
        <w:tc>
          <w:tcPr>
            <w:tcW w:w="510" w:type="dxa"/>
            <w:vAlign w:val="center"/>
          </w:tcPr>
          <w:p w14:paraId="52C45BB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1FEB75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F133B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AA22B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damages – proving damages</w:t>
            </w:r>
          </w:p>
        </w:tc>
        <w:tc>
          <w:tcPr>
            <w:tcW w:w="510" w:type="dxa"/>
            <w:vAlign w:val="center"/>
          </w:tcPr>
          <w:p w14:paraId="6D038AC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3BEF86C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32CA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D3978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declaration of breach – remedies under s. 24</w:t>
            </w:r>
          </w:p>
        </w:tc>
        <w:tc>
          <w:tcPr>
            <w:tcW w:w="510" w:type="dxa"/>
            <w:vAlign w:val="center"/>
          </w:tcPr>
          <w:p w14:paraId="0368FB2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6D76AF5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C1F66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9F798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declaration of invalidity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2105258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5D7C7EF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79F74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AF12F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democratic rights – ss. 3-5</w:t>
            </w:r>
          </w:p>
          <w:p w14:paraId="76781181" w14:textId="77777777" w:rsidR="00A72EAE" w:rsidRDefault="00A72EAE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Right to vote, s. 3</w:t>
            </w:r>
          </w:p>
          <w:p w14:paraId="77447866" w14:textId="77777777" w:rsidR="00A72EAE" w:rsidRDefault="00A72EAE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Electoral riding boundaries, s. 3</w:t>
            </w:r>
          </w:p>
          <w:p w14:paraId="18CBC889" w14:textId="77777777" w:rsidR="00A72EAE" w:rsidRDefault="00A72EAE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Frequency of elections, s. 4</w:t>
            </w:r>
          </w:p>
          <w:p w14:paraId="5CD8DD66" w14:textId="77777777" w:rsidR="00A72EAE" w:rsidRDefault="00A72EAE" w:rsidP="00BB299D">
            <w:pPr>
              <w:numPr>
                <w:ilvl w:val="0"/>
                <w:numId w:val="1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Sittings of Parliament, s. 5</w:t>
            </w:r>
          </w:p>
        </w:tc>
        <w:tc>
          <w:tcPr>
            <w:tcW w:w="510" w:type="dxa"/>
            <w:vAlign w:val="center"/>
          </w:tcPr>
          <w:p w14:paraId="06B283A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97138D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9492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328F5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detention and imprisonment – rights under ss. 9-12</w:t>
            </w:r>
          </w:p>
        </w:tc>
        <w:tc>
          <w:tcPr>
            <w:tcW w:w="510" w:type="dxa"/>
            <w:vAlign w:val="center"/>
          </w:tcPr>
          <w:p w14:paraId="7DB2379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90CDD5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C69F91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CAB2B0" w14:textId="77777777" w:rsidR="00A72EAE" w:rsidRPr="008B4D6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DM balancing mandate with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Reasonableness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Doré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Barreau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du Québec</w:t>
            </w:r>
          </w:p>
        </w:tc>
        <w:tc>
          <w:tcPr>
            <w:tcW w:w="510" w:type="dxa"/>
            <w:vAlign w:val="center"/>
          </w:tcPr>
          <w:p w14:paraId="0635CF4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595C7E6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E554C5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854EE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elections – ss. 3-5</w:t>
            </w:r>
          </w:p>
        </w:tc>
        <w:tc>
          <w:tcPr>
            <w:tcW w:w="510" w:type="dxa"/>
            <w:vAlign w:val="center"/>
          </w:tcPr>
          <w:p w14:paraId="4D31D20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B545BE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A2658C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5F30C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equality</w:t>
            </w:r>
            <w:r>
              <w:rPr>
                <w:rFonts w:ascii="Arial Narrow" w:hAnsi="Arial Narrow"/>
                <w:sz w:val="20"/>
              </w:rPr>
              <w:t xml:space="preserve"> – analogous grounds – e.g. unmarried spouses, same-sex spouses, native persons living off-reserve</w:t>
            </w:r>
          </w:p>
        </w:tc>
        <w:tc>
          <w:tcPr>
            <w:tcW w:w="510" w:type="dxa"/>
            <w:vAlign w:val="center"/>
          </w:tcPr>
          <w:p w14:paraId="03DFF7F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238DA9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8F4AC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288B2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analysis under s. 15 –</w:t>
            </w:r>
            <w:r>
              <w:rPr>
                <w:rFonts w:ascii="Arial Narrow Italic" w:hAnsi="Arial Narrow Italic"/>
                <w:sz w:val="20"/>
              </w:rPr>
              <w:t xml:space="preserve"> Law v. Canada, </w:t>
            </w:r>
            <w:proofErr w:type="spellStart"/>
            <w:r>
              <w:rPr>
                <w:rFonts w:ascii="Arial Narrow Italic" w:hAnsi="Arial Narrow Italic"/>
                <w:sz w:val="20"/>
              </w:rPr>
              <w:t>Withler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and </w:t>
            </w:r>
            <w:proofErr w:type="spellStart"/>
            <w:r>
              <w:rPr>
                <w:rFonts w:ascii="Arial Narrow Italic" w:hAnsi="Arial Narrow Italic"/>
                <w:sz w:val="20"/>
              </w:rPr>
              <w:t>Kapp</w:t>
            </w:r>
            <w:proofErr w:type="spellEnd"/>
          </w:p>
        </w:tc>
        <w:tc>
          <w:tcPr>
            <w:tcW w:w="510" w:type="dxa"/>
            <w:vAlign w:val="center"/>
          </w:tcPr>
          <w:p w14:paraId="4A70491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0B0C7F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38832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93D69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clarifications of the </w:t>
            </w:r>
            <w:r>
              <w:rPr>
                <w:rFonts w:ascii="Arial Narrow Italic" w:hAnsi="Arial Narrow Italic"/>
                <w:sz w:val="20"/>
              </w:rPr>
              <w:t xml:space="preserve">Law </w:t>
            </w:r>
            <w:r>
              <w:rPr>
                <w:rFonts w:ascii="Arial Narrow" w:hAnsi="Arial Narrow"/>
                <w:sz w:val="20"/>
              </w:rPr>
              <w:t xml:space="preserve">test </w:t>
            </w:r>
            <w:r>
              <w:rPr>
                <w:rFonts w:ascii="Arial Narrow Italic" w:hAnsi="Arial Narrow Italic"/>
                <w:sz w:val="20"/>
              </w:rPr>
              <w:t xml:space="preserve">– </w:t>
            </w:r>
            <w:proofErr w:type="spellStart"/>
            <w:r>
              <w:rPr>
                <w:rFonts w:ascii="Arial Narrow Italic" w:hAnsi="Arial Narrow Italic"/>
                <w:sz w:val="20"/>
              </w:rPr>
              <w:lastRenderedPageBreak/>
              <w:t>Withler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and </w:t>
            </w:r>
            <w:proofErr w:type="spellStart"/>
            <w:r>
              <w:rPr>
                <w:rFonts w:ascii="Arial Narrow Italic" w:hAnsi="Arial Narrow Italic"/>
                <w:sz w:val="20"/>
              </w:rPr>
              <w:t>Kapp</w:t>
            </w:r>
            <w:proofErr w:type="spellEnd"/>
          </w:p>
        </w:tc>
        <w:tc>
          <w:tcPr>
            <w:tcW w:w="510" w:type="dxa"/>
            <w:vAlign w:val="center"/>
          </w:tcPr>
          <w:p w14:paraId="3B9BD8A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584</w:t>
            </w:r>
          </w:p>
        </w:tc>
        <w:tc>
          <w:tcPr>
            <w:tcW w:w="427" w:type="dxa"/>
            <w:vAlign w:val="center"/>
          </w:tcPr>
          <w:p w14:paraId="64D2BC2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AB4EB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11C322" w14:textId="77777777" w:rsidR="00A72EAE" w:rsidRPr="005E1F12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 w:rsidRPr="005E1F12">
              <w:rPr>
                <w:rFonts w:ascii="Arial Narrow" w:hAnsi="Arial Narrow"/>
                <w:i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enhance substantive equality – s.15(2)</w:t>
            </w:r>
          </w:p>
        </w:tc>
        <w:tc>
          <w:tcPr>
            <w:tcW w:w="510" w:type="dxa"/>
            <w:vAlign w:val="center"/>
          </w:tcPr>
          <w:p w14:paraId="1377AEF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71801BB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60184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BFCAA9" w14:textId="77777777" w:rsidR="00A72EAE" w:rsidRPr="00201CC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equality – perpetuating negative attitudes is irrelevant – consider under s. 1</w:t>
            </w:r>
          </w:p>
        </w:tc>
        <w:tc>
          <w:tcPr>
            <w:tcW w:w="510" w:type="dxa"/>
            <w:vAlign w:val="center"/>
          </w:tcPr>
          <w:p w14:paraId="7DCEB36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7DC6240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59F77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8F19A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personal circumstances vs. personal characteristics</w:t>
            </w:r>
          </w:p>
        </w:tc>
        <w:tc>
          <w:tcPr>
            <w:tcW w:w="510" w:type="dxa"/>
            <w:vAlign w:val="center"/>
          </w:tcPr>
          <w:p w14:paraId="06D803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2811957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3F7F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AFCD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equality – retroactive application of s. 15 – </w:t>
            </w: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Hislop</w:t>
            </w:r>
            <w:proofErr w:type="spellEnd"/>
          </w:p>
        </w:tc>
        <w:tc>
          <w:tcPr>
            <w:tcW w:w="510" w:type="dxa"/>
            <w:vAlign w:val="center"/>
          </w:tcPr>
          <w:p w14:paraId="206A0C9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1F711B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D5A195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FD198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exclusion of evidence – remedy under s. 24(2)</w:t>
            </w:r>
          </w:p>
        </w:tc>
        <w:tc>
          <w:tcPr>
            <w:tcW w:w="510" w:type="dxa"/>
            <w:vAlign w:val="center"/>
          </w:tcPr>
          <w:p w14:paraId="07C982F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58B25B0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4A36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8A1E1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extradition to face death penalty – s. 12 – cruel and unusual treatment</w:t>
            </w:r>
          </w:p>
        </w:tc>
        <w:tc>
          <w:tcPr>
            <w:tcW w:w="510" w:type="dxa"/>
            <w:vAlign w:val="center"/>
          </w:tcPr>
          <w:p w14:paraId="11B1B7F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69EA72F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9362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2B808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freedom of</w:t>
            </w:r>
            <w:r>
              <w:rPr>
                <w:rFonts w:ascii="Arial Narrow" w:hAnsi="Arial Narrow"/>
                <w:sz w:val="20"/>
              </w:rPr>
              <w:t xml:space="preserve"> association – s. 2(d) – protects collective bargaining</w:t>
            </w:r>
          </w:p>
        </w:tc>
        <w:tc>
          <w:tcPr>
            <w:tcW w:w="510" w:type="dxa"/>
            <w:vAlign w:val="center"/>
          </w:tcPr>
          <w:p w14:paraId="23EE19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048A94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839D4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43753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freedom of expression – s. 2(b)</w:t>
            </w:r>
          </w:p>
        </w:tc>
        <w:tc>
          <w:tcPr>
            <w:tcW w:w="510" w:type="dxa"/>
            <w:vAlign w:val="center"/>
          </w:tcPr>
          <w:p w14:paraId="71F5E14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00D14B1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EB8075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950A6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freedom of religion – s. 2(a)</w:t>
            </w:r>
          </w:p>
        </w:tc>
        <w:tc>
          <w:tcPr>
            <w:tcW w:w="510" w:type="dxa"/>
            <w:vAlign w:val="center"/>
          </w:tcPr>
          <w:p w14:paraId="39BC877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0A540E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BDD3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FE15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rights upon arrest under s. 10</w:t>
            </w:r>
          </w:p>
        </w:tc>
        <w:tc>
          <w:tcPr>
            <w:tcW w:w="510" w:type="dxa"/>
            <w:vAlign w:val="center"/>
          </w:tcPr>
          <w:p w14:paraId="0297561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2CE19B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C1688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79314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health care issues and s. 7 – including abortion and safe injection sites</w:t>
            </w:r>
          </w:p>
        </w:tc>
        <w:tc>
          <w:tcPr>
            <w:tcW w:w="510" w:type="dxa"/>
            <w:vAlign w:val="center"/>
          </w:tcPr>
          <w:p w14:paraId="2C63088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E4A867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6F51A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70691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immigration detention – s. 10</w:t>
            </w:r>
          </w:p>
        </w:tc>
        <w:tc>
          <w:tcPr>
            <w:tcW w:w="510" w:type="dxa"/>
            <w:vAlign w:val="center"/>
          </w:tcPr>
          <w:p w14:paraId="3E7BBBA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2BDA76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5CC69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F5664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injunctions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6861678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BCD15D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831D0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02841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language rights – ss. 16-23</w:t>
            </w:r>
          </w:p>
        </w:tc>
        <w:tc>
          <w:tcPr>
            <w:tcW w:w="510" w:type="dxa"/>
            <w:vAlign w:val="center"/>
          </w:tcPr>
          <w:p w14:paraId="1192DBF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4A0DA2F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6C26E5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24E22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limits</w:t>
            </w:r>
            <w:r>
              <w:rPr>
                <w:rFonts w:ascii="Arial Narrow" w:hAnsi="Arial Narrow"/>
                <w:sz w:val="20"/>
              </w:rPr>
              <w:t xml:space="preserve"> – internal limits</w:t>
            </w:r>
          </w:p>
        </w:tc>
        <w:tc>
          <w:tcPr>
            <w:tcW w:w="510" w:type="dxa"/>
            <w:vAlign w:val="center"/>
          </w:tcPr>
          <w:p w14:paraId="7403DDA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535B75C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0DFC07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0F128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interpretive limits</w:t>
            </w:r>
          </w:p>
        </w:tc>
        <w:tc>
          <w:tcPr>
            <w:tcW w:w="510" w:type="dxa"/>
            <w:vAlign w:val="center"/>
          </w:tcPr>
          <w:p w14:paraId="0945F37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5B993DA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EC4CAE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E8161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notwithstanding clause, a.k.a. override provision – s. 33</w:t>
            </w:r>
          </w:p>
        </w:tc>
        <w:tc>
          <w:tcPr>
            <w:tcW w:w="510" w:type="dxa"/>
            <w:vAlign w:val="center"/>
          </w:tcPr>
          <w:p w14:paraId="5CA416F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1E110A4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CAF7D7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A973E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</w:t>
            </w: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test</w:t>
            </w:r>
          </w:p>
        </w:tc>
        <w:tc>
          <w:tcPr>
            <w:tcW w:w="510" w:type="dxa"/>
            <w:vAlign w:val="center"/>
          </w:tcPr>
          <w:p w14:paraId="35CF8F2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76B2994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03DAF5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6DAA2E" w14:textId="77777777" w:rsidR="00A72EAE" w:rsidRPr="00342CF5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limits – section 1 – </w:t>
            </w:r>
            <w:r>
              <w:rPr>
                <w:rFonts w:ascii="Arial Narrow" w:hAnsi="Arial Narrow"/>
                <w:i/>
                <w:sz w:val="20"/>
              </w:rPr>
              <w:t xml:space="preserve">Oakes </w:t>
            </w:r>
            <w:r>
              <w:rPr>
                <w:rFonts w:ascii="Arial Narrow" w:hAnsi="Arial Narrow"/>
                <w:sz w:val="20"/>
              </w:rPr>
              <w:t>test – government objectives – examples</w:t>
            </w:r>
          </w:p>
        </w:tc>
        <w:tc>
          <w:tcPr>
            <w:tcW w:w="510" w:type="dxa"/>
            <w:vAlign w:val="center"/>
          </w:tcPr>
          <w:p w14:paraId="1126800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0D0A53C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8B7E4E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7CB4E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</w:t>
            </w: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test applied in flexible and contextual manner</w:t>
            </w:r>
          </w:p>
        </w:tc>
        <w:tc>
          <w:tcPr>
            <w:tcW w:w="510" w:type="dxa"/>
            <w:vAlign w:val="center"/>
          </w:tcPr>
          <w:p w14:paraId="0036193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3672AF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0093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D68FE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onus on party seeking to uphold the limitation</w:t>
            </w:r>
          </w:p>
        </w:tc>
        <w:tc>
          <w:tcPr>
            <w:tcW w:w="510" w:type="dxa"/>
            <w:vAlign w:val="center"/>
          </w:tcPr>
          <w:p w14:paraId="4F5B33A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78DAA53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EFDAD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299C5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limits – section 1 – prescribed by law </w:t>
            </w:r>
          </w:p>
        </w:tc>
        <w:tc>
          <w:tcPr>
            <w:tcW w:w="510" w:type="dxa"/>
            <w:vAlign w:val="center"/>
          </w:tcPr>
          <w:p w14:paraId="13602CF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6BA90A5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7B6B1F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F30CE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LLSP (life, liberty and security of the person) </w:t>
            </w:r>
            <w:r>
              <w:rPr>
                <w:rFonts w:ascii="Arial Narrow" w:hAnsi="Arial Narrow"/>
                <w:sz w:val="20"/>
              </w:rPr>
              <w:t>– s. 7</w:t>
            </w:r>
          </w:p>
        </w:tc>
        <w:tc>
          <w:tcPr>
            <w:tcW w:w="510" w:type="dxa"/>
            <w:vAlign w:val="center"/>
          </w:tcPr>
          <w:p w14:paraId="2B43FA9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9F1AE4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F6D5FD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D5BC4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child protection cases</w:t>
            </w:r>
          </w:p>
        </w:tc>
        <w:tc>
          <w:tcPr>
            <w:tcW w:w="510" w:type="dxa"/>
            <w:vAlign w:val="center"/>
          </w:tcPr>
          <w:p w14:paraId="40A4B3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979C45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C972A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03BEE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health care issues, including unwanted medical treatment, abortion, safe injection sites</w:t>
            </w:r>
          </w:p>
        </w:tc>
        <w:tc>
          <w:tcPr>
            <w:tcW w:w="510" w:type="dxa"/>
            <w:vAlign w:val="center"/>
          </w:tcPr>
          <w:p w14:paraId="24C0B74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043300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1A276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4F10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immigration and refugee issues, parole and human rights cases</w:t>
            </w:r>
          </w:p>
        </w:tc>
        <w:tc>
          <w:tcPr>
            <w:tcW w:w="510" w:type="dxa"/>
            <w:vAlign w:val="center"/>
          </w:tcPr>
          <w:p w14:paraId="4A42F7F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62F5A2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BF3B7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A6929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LLSP (s. 7) – not applicable to corporations</w:t>
            </w:r>
          </w:p>
        </w:tc>
        <w:tc>
          <w:tcPr>
            <w:tcW w:w="510" w:type="dxa"/>
            <w:vAlign w:val="center"/>
          </w:tcPr>
          <w:p w14:paraId="01524D8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D75D1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E201B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C4594F" w14:textId="77777777" w:rsidR="00A72EAE" w:rsidRPr="009F045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LLSP (s. 7) – sex worker safety – </w:t>
            </w:r>
            <w:r w:rsidRPr="0017678A">
              <w:rPr>
                <w:rFonts w:ascii="Arial Narrow" w:hAnsi="Arial Narrow"/>
                <w:b/>
                <w:sz w:val="20"/>
              </w:rPr>
              <w:lastRenderedPageBreak/>
              <w:t>*addendum</w:t>
            </w:r>
          </w:p>
        </w:tc>
        <w:tc>
          <w:tcPr>
            <w:tcW w:w="510" w:type="dxa"/>
            <w:vAlign w:val="center"/>
          </w:tcPr>
          <w:p w14:paraId="7AA2DEA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554473E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282D9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0BA6DE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mobility rights</w:t>
            </w:r>
            <w:r>
              <w:rPr>
                <w:rFonts w:ascii="Arial Narrow" w:hAnsi="Arial Narrow"/>
                <w:sz w:val="20"/>
              </w:rPr>
              <w:t xml:space="preserve"> – s. 6</w:t>
            </w:r>
          </w:p>
        </w:tc>
        <w:tc>
          <w:tcPr>
            <w:tcW w:w="510" w:type="dxa"/>
            <w:vAlign w:val="center"/>
          </w:tcPr>
          <w:p w14:paraId="3B1823B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820199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DA2AED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EA516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mobility rights under s. 6(1) – extradition requests</w:t>
            </w:r>
          </w:p>
        </w:tc>
        <w:tc>
          <w:tcPr>
            <w:tcW w:w="510" w:type="dxa"/>
            <w:vAlign w:val="center"/>
          </w:tcPr>
          <w:p w14:paraId="5842DF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887D27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83FD99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1A7F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mobility rights under s. 6(2) – permanent residents</w:t>
            </w:r>
          </w:p>
        </w:tc>
        <w:tc>
          <w:tcPr>
            <w:tcW w:w="510" w:type="dxa"/>
            <w:vAlign w:val="center"/>
          </w:tcPr>
          <w:p w14:paraId="7498E0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7F334D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AB4A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8ACDB3" w14:textId="77777777" w:rsidR="00A72EAE" w:rsidRPr="00C56FE3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nature and purpose of rights – sources of evidence to draw on</w:t>
            </w:r>
          </w:p>
        </w:tc>
        <w:tc>
          <w:tcPr>
            <w:tcW w:w="510" w:type="dxa"/>
            <w:vAlign w:val="center"/>
          </w:tcPr>
          <w:p w14:paraId="5C01F1B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51A2E15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ABB8F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4D5BC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 force or effect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10C8021F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40624B8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612D3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75120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notwithstanding clause – s.33 – does not apply to language rights</w:t>
            </w:r>
          </w:p>
        </w:tc>
        <w:tc>
          <w:tcPr>
            <w:tcW w:w="510" w:type="dxa"/>
            <w:vAlign w:val="center"/>
          </w:tcPr>
          <w:p w14:paraId="6E4171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5FBD8E8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C53C6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4C71A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notwithstanding clause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5EB0915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6C4C4F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AEA9B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AC15B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test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66CABBF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0A99D77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F2175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6DEFA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override provision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058FB7D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758D0C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93F14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A978FB" w14:textId="77777777" w:rsidR="00A72EAE" w:rsidRPr="00ED759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principles of fundamental justice – arbitrariness</w:t>
            </w:r>
          </w:p>
        </w:tc>
        <w:tc>
          <w:tcPr>
            <w:tcW w:w="510" w:type="dxa"/>
            <w:vAlign w:val="center"/>
          </w:tcPr>
          <w:p w14:paraId="5D92D51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65062ED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1FADF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04D631" w14:textId="77777777" w:rsidR="00A72EAE" w:rsidRPr="00DC1D1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principles of fundamental justice – gross disproportionality</w:t>
            </w:r>
          </w:p>
        </w:tc>
        <w:tc>
          <w:tcPr>
            <w:tcW w:w="510" w:type="dxa"/>
            <w:vAlign w:val="center"/>
          </w:tcPr>
          <w:p w14:paraId="0899F5A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5712DE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C40C7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6C1A0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principles of fundamental justice – LLSP under s. 7 – </w:t>
            </w:r>
            <w:r>
              <w:rPr>
                <w:rFonts w:ascii="Arial Narrow Italic" w:hAnsi="Arial Narrow Italic"/>
                <w:sz w:val="20"/>
              </w:rPr>
              <w:t>Malmo-Levine, D.B.</w:t>
            </w:r>
          </w:p>
        </w:tc>
        <w:tc>
          <w:tcPr>
            <w:tcW w:w="510" w:type="dxa"/>
            <w:vAlign w:val="center"/>
          </w:tcPr>
          <w:p w14:paraId="4E2F3D1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548285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DCBC9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2247EC" w14:textId="77777777" w:rsidR="00A72EAE" w:rsidRPr="00ED759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principles of fundamental justice – </w:t>
            </w:r>
            <w:proofErr w:type="spellStart"/>
            <w:r>
              <w:rPr>
                <w:rFonts w:ascii="Arial Narrow" w:hAnsi="Arial Narrow"/>
                <w:sz w:val="20"/>
              </w:rPr>
              <w:t>overbreadth</w:t>
            </w:r>
            <w:proofErr w:type="spellEnd"/>
          </w:p>
        </w:tc>
        <w:tc>
          <w:tcPr>
            <w:tcW w:w="510" w:type="dxa"/>
            <w:vAlign w:val="center"/>
          </w:tcPr>
          <w:p w14:paraId="6A2DF3A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7FE98CC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9A659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ECC81F" w14:textId="77777777" w:rsidR="00A72EAE" w:rsidRPr="00DC1D1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principles of fundamental justice – vagueness</w:t>
            </w:r>
          </w:p>
        </w:tc>
        <w:tc>
          <w:tcPr>
            <w:tcW w:w="510" w:type="dxa"/>
            <w:vAlign w:val="center"/>
          </w:tcPr>
          <w:p w14:paraId="0FC6234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3F4448B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951B1E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D254C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privacy rights – s. 8</w:t>
            </w:r>
          </w:p>
        </w:tc>
        <w:tc>
          <w:tcPr>
            <w:tcW w:w="510" w:type="dxa"/>
            <w:vAlign w:val="center"/>
          </w:tcPr>
          <w:p w14:paraId="490AC91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DD1EBD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A3C474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22F5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proving a claim</w:t>
            </w:r>
            <w:r>
              <w:rPr>
                <w:rFonts w:ascii="Arial Narrow" w:hAnsi="Arial Narrow"/>
                <w:sz w:val="20"/>
              </w:rPr>
              <w:t xml:space="preserve"> – adjudicative facts vs. legislative facts</w:t>
            </w:r>
          </w:p>
        </w:tc>
        <w:tc>
          <w:tcPr>
            <w:tcW w:w="510" w:type="dxa"/>
            <w:vAlign w:val="center"/>
          </w:tcPr>
          <w:p w14:paraId="6E2F841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2FEB202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CF016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86B4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admin tribunals – jurisdiction to consider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issue</w:t>
            </w:r>
          </w:p>
        </w:tc>
        <w:tc>
          <w:tcPr>
            <w:tcW w:w="510" w:type="dxa"/>
            <w:vAlign w:val="center"/>
          </w:tcPr>
          <w:p w14:paraId="3BD2DFA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23DC13C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A367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A3EDE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Brandeis briefs – placing social science evidence before court</w:t>
            </w:r>
          </w:p>
        </w:tc>
        <w:tc>
          <w:tcPr>
            <w:tcW w:w="510" w:type="dxa"/>
            <w:vAlign w:val="center"/>
          </w:tcPr>
          <w:p w14:paraId="78EB84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E49CF5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877FBE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C31344" w14:textId="77777777" w:rsidR="00A72EAE" w:rsidRPr="00CE4D4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burden of proof</w:t>
            </w:r>
          </w:p>
        </w:tc>
        <w:tc>
          <w:tcPr>
            <w:tcW w:w="510" w:type="dxa"/>
            <w:vAlign w:val="center"/>
          </w:tcPr>
          <w:p w14:paraId="21C6F5B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68CE2BE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A4297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0716A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checklist – jurisdiction of tribunal</w:t>
            </w:r>
          </w:p>
        </w:tc>
        <w:tc>
          <w:tcPr>
            <w:tcW w:w="510" w:type="dxa"/>
            <w:vAlign w:val="center"/>
          </w:tcPr>
          <w:p w14:paraId="30FD8AD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09C4497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49A6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B9B680" w14:textId="77777777" w:rsidR="00A72EAE" w:rsidRPr="00AB51EA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checklist – proceeding-specific facts</w:t>
            </w:r>
          </w:p>
        </w:tc>
        <w:tc>
          <w:tcPr>
            <w:tcW w:w="510" w:type="dxa"/>
            <w:vAlign w:val="center"/>
          </w:tcPr>
          <w:p w14:paraId="2A9B398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1FFA883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079E1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74911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checklist – standing and mootness</w:t>
            </w:r>
          </w:p>
        </w:tc>
        <w:tc>
          <w:tcPr>
            <w:tcW w:w="510" w:type="dxa"/>
            <w:vAlign w:val="center"/>
          </w:tcPr>
          <w:p w14:paraId="17EF4B6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522C16F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3F33C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C0D8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costs</w:t>
            </w:r>
          </w:p>
        </w:tc>
        <w:tc>
          <w:tcPr>
            <w:tcW w:w="510" w:type="dxa"/>
            <w:vAlign w:val="center"/>
          </w:tcPr>
          <w:p w14:paraId="272BC24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54CA20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8085A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B2566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damages – </w:t>
            </w:r>
            <w:r>
              <w:rPr>
                <w:rFonts w:ascii="Arial Narrow Italic" w:hAnsi="Arial Narrow Italic"/>
                <w:sz w:val="20"/>
              </w:rPr>
              <w:t>Vancouver (City) v. Ward</w:t>
            </w:r>
          </w:p>
        </w:tc>
        <w:tc>
          <w:tcPr>
            <w:tcW w:w="510" w:type="dxa"/>
            <w:vAlign w:val="center"/>
          </w:tcPr>
          <w:p w14:paraId="2CAA54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1D699F1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B2FE3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8EFA40" w14:textId="77777777" w:rsidR="00A72EAE" w:rsidRPr="00F4759C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existence of a breach – section 7 claim – causation re: government action</w:t>
            </w:r>
          </w:p>
        </w:tc>
        <w:tc>
          <w:tcPr>
            <w:tcW w:w="510" w:type="dxa"/>
            <w:vAlign w:val="center"/>
          </w:tcPr>
          <w:p w14:paraId="4F235C6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1A9D2F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5863C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44D1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existence of breach – </w:t>
            </w:r>
            <w:r>
              <w:rPr>
                <w:rFonts w:ascii="Arial Narrow" w:hAnsi="Arial Narrow"/>
                <w:sz w:val="20"/>
              </w:rPr>
              <w:lastRenderedPageBreak/>
              <w:t xml:space="preserve">kinds of evidence to draw on </w:t>
            </w:r>
          </w:p>
        </w:tc>
        <w:tc>
          <w:tcPr>
            <w:tcW w:w="510" w:type="dxa"/>
            <w:vAlign w:val="center"/>
          </w:tcPr>
          <w:p w14:paraId="4625006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590</w:t>
            </w:r>
          </w:p>
        </w:tc>
        <w:tc>
          <w:tcPr>
            <w:tcW w:w="427" w:type="dxa"/>
            <w:vAlign w:val="center"/>
          </w:tcPr>
          <w:p w14:paraId="148D230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17F4D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CFD77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government action</w:t>
            </w:r>
          </w:p>
        </w:tc>
        <w:tc>
          <w:tcPr>
            <w:tcW w:w="510" w:type="dxa"/>
            <w:vAlign w:val="center"/>
          </w:tcPr>
          <w:p w14:paraId="0589727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04F99D6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58393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1800E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</w:t>
            </w:r>
            <w:proofErr w:type="spellStart"/>
            <w:r>
              <w:rPr>
                <w:rFonts w:ascii="Arial Narrow" w:hAnsi="Arial Narrow"/>
                <w:sz w:val="20"/>
              </w:rPr>
              <w:t>Hansard</w:t>
            </w:r>
            <w:proofErr w:type="spellEnd"/>
          </w:p>
        </w:tc>
        <w:tc>
          <w:tcPr>
            <w:tcW w:w="510" w:type="dxa"/>
            <w:vAlign w:val="center"/>
          </w:tcPr>
          <w:p w14:paraId="4CE80F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D9899F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7A7D5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9765D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nature and purpose of rights – sources of evidence to draw on</w:t>
            </w:r>
          </w:p>
        </w:tc>
        <w:tc>
          <w:tcPr>
            <w:tcW w:w="510" w:type="dxa"/>
            <w:vAlign w:val="center"/>
          </w:tcPr>
          <w:p w14:paraId="642BD7A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00FD11F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BB09A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A7172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notice of constitutional question</w:t>
            </w:r>
          </w:p>
        </w:tc>
        <w:tc>
          <w:tcPr>
            <w:tcW w:w="510" w:type="dxa"/>
            <w:vAlign w:val="center"/>
          </w:tcPr>
          <w:p w14:paraId="412FBD7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5F8490B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60EB4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21B259" w14:textId="77777777" w:rsidR="00A72EAE" w:rsidRPr="00461A16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refuting existence of breach</w:t>
            </w:r>
          </w:p>
        </w:tc>
        <w:tc>
          <w:tcPr>
            <w:tcW w:w="510" w:type="dxa"/>
            <w:vAlign w:val="center"/>
          </w:tcPr>
          <w:p w14:paraId="44C3DD5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290E563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E7A9D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3C06FA" w14:textId="77777777" w:rsidR="00A72EAE" w:rsidRPr="00745BB3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proving a claim – remedies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Schachter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</w:t>
            </w:r>
          </w:p>
        </w:tc>
        <w:tc>
          <w:tcPr>
            <w:tcW w:w="510" w:type="dxa"/>
            <w:vAlign w:val="center"/>
          </w:tcPr>
          <w:p w14:paraId="22E4761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319439D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59C252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E705C9" w14:textId="77777777" w:rsidR="00A72EAE" w:rsidRPr="00461A16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general</w:t>
            </w:r>
          </w:p>
        </w:tc>
        <w:tc>
          <w:tcPr>
            <w:tcW w:w="510" w:type="dxa"/>
            <w:vAlign w:val="center"/>
          </w:tcPr>
          <w:p w14:paraId="19D5CD9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3A3D882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F10067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49B709" w14:textId="77777777" w:rsidR="00A72EAE" w:rsidRPr="00165CE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legislative objective</w:t>
            </w:r>
          </w:p>
        </w:tc>
        <w:tc>
          <w:tcPr>
            <w:tcW w:w="510" w:type="dxa"/>
            <w:vAlign w:val="center"/>
          </w:tcPr>
          <w:p w14:paraId="50FFAFC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7C0676F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DE29C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D466AF" w14:textId="77777777" w:rsidR="00A72EAE" w:rsidRPr="009A0F8A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minimal impairment</w:t>
            </w:r>
          </w:p>
        </w:tc>
        <w:tc>
          <w:tcPr>
            <w:tcW w:w="510" w:type="dxa"/>
            <w:vAlign w:val="center"/>
          </w:tcPr>
          <w:p w14:paraId="2374198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3804DEC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5DF9B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9DCD6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proportionality</w:t>
            </w:r>
          </w:p>
        </w:tc>
        <w:tc>
          <w:tcPr>
            <w:tcW w:w="510" w:type="dxa"/>
            <w:vAlign w:val="center"/>
          </w:tcPr>
          <w:p w14:paraId="65DCE67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66834AF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BDD1B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58B42C" w14:textId="77777777" w:rsidR="00A72EAE" w:rsidRPr="00702E3A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proving a claim – section 1 justification – rational connection</w:t>
            </w:r>
          </w:p>
        </w:tc>
        <w:tc>
          <w:tcPr>
            <w:tcW w:w="510" w:type="dxa"/>
            <w:vAlign w:val="center"/>
          </w:tcPr>
          <w:p w14:paraId="2C04F75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5590B78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9E1DE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7B4B5B" w14:textId="77777777" w:rsidR="00A72EAE" w:rsidRPr="00637570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social science experts</w:t>
            </w:r>
          </w:p>
        </w:tc>
        <w:tc>
          <w:tcPr>
            <w:tcW w:w="510" w:type="dxa"/>
            <w:vAlign w:val="center"/>
          </w:tcPr>
          <w:p w14:paraId="0106D2E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7DD5B0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A6EF0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30D0E2" w14:textId="77777777" w:rsidR="00A72EAE" w:rsidRPr="00EA772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proving a claim – use of precedent – </w:t>
            </w:r>
            <w:r>
              <w:rPr>
                <w:rFonts w:ascii="Arial Narrow" w:hAnsi="Arial Narrow"/>
                <w:i/>
                <w:sz w:val="20"/>
              </w:rPr>
              <w:t>Canada (Attorney General) v. Bedford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" w:hAnsi="Arial Narrow"/>
                <w:b/>
                <w:sz w:val="20"/>
              </w:rPr>
              <w:t>*addendum</w:t>
            </w:r>
          </w:p>
        </w:tc>
        <w:tc>
          <w:tcPr>
            <w:tcW w:w="510" w:type="dxa"/>
            <w:vAlign w:val="center"/>
          </w:tcPr>
          <w:p w14:paraId="20CA31D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07E6C06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5371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077F7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proving a claim – using freedom of information legislation to access government materials</w:t>
            </w:r>
          </w:p>
        </w:tc>
        <w:tc>
          <w:tcPr>
            <w:tcW w:w="510" w:type="dxa"/>
            <w:vAlign w:val="center"/>
          </w:tcPr>
          <w:p w14:paraId="33B2D39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6E6C71B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3D0FE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2B2ED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reasonable limits prescribed by law, free and democratic society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58B18C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2E6CED1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00B84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CE979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Charter</w:t>
            </w:r>
            <w:r>
              <w:rPr>
                <w:rFonts w:ascii="Arial Narrow Bold" w:hAnsi="Arial Narrow Bold"/>
                <w:sz w:val="20"/>
              </w:rPr>
              <w:t xml:space="preserve"> – remedies </w:t>
            </w:r>
            <w:r>
              <w:rPr>
                <w:rFonts w:ascii="Arial Narrow" w:hAnsi="Arial Narrow"/>
                <w:sz w:val="20"/>
              </w:rPr>
              <w:t>– changing the law under s. 52</w:t>
            </w:r>
          </w:p>
        </w:tc>
        <w:tc>
          <w:tcPr>
            <w:tcW w:w="510" w:type="dxa"/>
            <w:vAlign w:val="center"/>
          </w:tcPr>
          <w:p w14:paraId="479A48E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04EAD57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623AC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E0656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</w:t>
            </w:r>
            <w:r>
              <w:rPr>
                <w:rFonts w:ascii="Arial Narrow Bold" w:hAnsi="Arial Narrow Bold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general</w:t>
            </w:r>
          </w:p>
        </w:tc>
        <w:tc>
          <w:tcPr>
            <w:tcW w:w="510" w:type="dxa"/>
            <w:vAlign w:val="center"/>
          </w:tcPr>
          <w:p w14:paraId="7F9F06E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12D951C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14CCA2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95810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bad faith not necessary to award damages –</w:t>
            </w:r>
            <w:r>
              <w:rPr>
                <w:rFonts w:ascii="Arial Narrow Italic" w:hAnsi="Arial Narrow Italic"/>
                <w:sz w:val="20"/>
              </w:rPr>
              <w:t xml:space="preserve"> Vancouver (City) v. Ward</w:t>
            </w:r>
          </w:p>
        </w:tc>
        <w:tc>
          <w:tcPr>
            <w:tcW w:w="510" w:type="dxa"/>
            <w:vAlign w:val="center"/>
          </w:tcPr>
          <w:p w14:paraId="2F83C3D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6CFC977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E238D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F47DC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court of competent jurisdiction</w:t>
            </w:r>
          </w:p>
        </w:tc>
        <w:tc>
          <w:tcPr>
            <w:tcW w:w="510" w:type="dxa"/>
            <w:vAlign w:val="center"/>
          </w:tcPr>
          <w:p w14:paraId="638B2BC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6D1BCA0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29836F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09575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Crown prerogative</w:t>
            </w:r>
          </w:p>
        </w:tc>
        <w:tc>
          <w:tcPr>
            <w:tcW w:w="510" w:type="dxa"/>
            <w:vAlign w:val="center"/>
          </w:tcPr>
          <w:p w14:paraId="2268FA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3068768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77741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82843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declaration of breach </w:t>
            </w:r>
          </w:p>
        </w:tc>
        <w:tc>
          <w:tcPr>
            <w:tcW w:w="510" w:type="dxa"/>
            <w:vAlign w:val="center"/>
          </w:tcPr>
          <w:p w14:paraId="6E1718E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724525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B9802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203A0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examples of remedies granted</w:t>
            </w:r>
          </w:p>
        </w:tc>
        <w:tc>
          <w:tcPr>
            <w:tcW w:w="510" w:type="dxa"/>
            <w:vAlign w:val="center"/>
          </w:tcPr>
          <w:p w14:paraId="5060169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11502B4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B7637D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976C1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24 – injunctions – evidence</w:t>
            </w:r>
          </w:p>
        </w:tc>
        <w:tc>
          <w:tcPr>
            <w:tcW w:w="510" w:type="dxa"/>
            <w:vAlign w:val="center"/>
          </w:tcPr>
          <w:p w14:paraId="491A3A4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0E3A3E5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3C0547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4921B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who can apply for relief under s. 24(1)</w:t>
            </w:r>
          </w:p>
        </w:tc>
        <w:tc>
          <w:tcPr>
            <w:tcW w:w="510" w:type="dxa"/>
            <w:vAlign w:val="center"/>
          </w:tcPr>
          <w:p w14:paraId="5D9EADC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2B7CF49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2E306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76477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 – wide range of possible remedies</w:t>
            </w:r>
          </w:p>
        </w:tc>
        <w:tc>
          <w:tcPr>
            <w:tcW w:w="510" w:type="dxa"/>
            <w:vAlign w:val="center"/>
          </w:tcPr>
          <w:p w14:paraId="38A10E2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15A7D6A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32C5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8EBE9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24(2) – exclusion of evidence –</w:t>
            </w:r>
            <w:r>
              <w:rPr>
                <w:rFonts w:ascii="Arial Narrow Italic" w:hAnsi="Arial Narrow Italic"/>
                <w:sz w:val="20"/>
              </w:rPr>
              <w:t xml:space="preserve"> R. v. Grant</w:t>
            </w:r>
          </w:p>
        </w:tc>
        <w:tc>
          <w:tcPr>
            <w:tcW w:w="510" w:type="dxa"/>
            <w:vAlign w:val="center"/>
          </w:tcPr>
          <w:p w14:paraId="1133968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03229EC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5CC72C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C47EF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“no force or effect”</w:t>
            </w:r>
          </w:p>
        </w:tc>
        <w:tc>
          <w:tcPr>
            <w:tcW w:w="510" w:type="dxa"/>
            <w:vAlign w:val="center"/>
          </w:tcPr>
          <w:p w14:paraId="1D469142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73F632C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7D2AC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5C871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consequences can vary depending on court or tribunal</w:t>
            </w:r>
          </w:p>
        </w:tc>
        <w:tc>
          <w:tcPr>
            <w:tcW w:w="510" w:type="dxa"/>
            <w:vAlign w:val="center"/>
          </w:tcPr>
          <w:p w14:paraId="7BB8A4F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759ECA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C9643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2196D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constitutional exemption</w:t>
            </w:r>
          </w:p>
        </w:tc>
        <w:tc>
          <w:tcPr>
            <w:tcW w:w="510" w:type="dxa"/>
            <w:vAlign w:val="center"/>
          </w:tcPr>
          <w:p w14:paraId="5BA4D3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5D45749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84901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B4213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constitutional exemption – evidence</w:t>
            </w:r>
          </w:p>
        </w:tc>
        <w:tc>
          <w:tcPr>
            <w:tcW w:w="510" w:type="dxa"/>
            <w:vAlign w:val="center"/>
          </w:tcPr>
          <w:p w14:paraId="086AD3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05375F2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85FE9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C8924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declaration of invalidity</w:t>
            </w:r>
          </w:p>
        </w:tc>
        <w:tc>
          <w:tcPr>
            <w:tcW w:w="510" w:type="dxa"/>
            <w:vAlign w:val="center"/>
          </w:tcPr>
          <w:p w14:paraId="20A0AC46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4EFDC448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1C75C7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91A4EC" w14:textId="77777777" w:rsidR="00A72EAE" w:rsidRPr="00C90125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declaration of invalidity – suspension</w:t>
            </w:r>
          </w:p>
        </w:tc>
        <w:tc>
          <w:tcPr>
            <w:tcW w:w="510" w:type="dxa"/>
            <w:vAlign w:val="center"/>
          </w:tcPr>
          <w:p w14:paraId="78709B7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13092B1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9376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33EB4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reading in and reading down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as interpretative tool –</w:t>
            </w:r>
            <w:r>
              <w:rPr>
                <w:rFonts w:ascii="Arial Narrow Italic" w:hAnsi="Arial Narrow Italic"/>
                <w:sz w:val="20"/>
              </w:rPr>
              <w:t xml:space="preserve"> AC v. Manitoba</w:t>
            </w:r>
          </w:p>
        </w:tc>
        <w:tc>
          <w:tcPr>
            <w:tcW w:w="510" w:type="dxa"/>
            <w:vAlign w:val="center"/>
          </w:tcPr>
          <w:p w14:paraId="3AD68BD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53BE962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9A61D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3394D6" w14:textId="77777777" w:rsidR="00A72EAE" w:rsidRPr="009C550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reading in and reading down – criteria</w:t>
            </w:r>
          </w:p>
        </w:tc>
        <w:tc>
          <w:tcPr>
            <w:tcW w:w="510" w:type="dxa"/>
            <w:vAlign w:val="center"/>
          </w:tcPr>
          <w:p w14:paraId="52E189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16B3A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FEE4F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BA8A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reading in and reading down – legislature has last word</w:t>
            </w:r>
          </w:p>
        </w:tc>
        <w:tc>
          <w:tcPr>
            <w:tcW w:w="510" w:type="dxa"/>
            <w:vAlign w:val="center"/>
          </w:tcPr>
          <w:p w14:paraId="336FE9A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762AF5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53F13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6D2E6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severance</w:t>
            </w:r>
          </w:p>
        </w:tc>
        <w:tc>
          <w:tcPr>
            <w:tcW w:w="510" w:type="dxa"/>
            <w:vAlign w:val="center"/>
          </w:tcPr>
          <w:p w14:paraId="6B9B03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4E737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3DCA5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E8585F" w14:textId="77777777" w:rsidR="00A72EAE" w:rsidRPr="001D1B81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severance – criteria</w:t>
            </w:r>
          </w:p>
        </w:tc>
        <w:tc>
          <w:tcPr>
            <w:tcW w:w="510" w:type="dxa"/>
            <w:vAlign w:val="center"/>
          </w:tcPr>
          <w:p w14:paraId="0F9322B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1AA8414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80D12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CC7468" w14:textId="77777777" w:rsidR="00A72EAE" w:rsidRPr="0071785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– remedies – s. 52 – severance, reading in, or reading down – legislative intent</w:t>
            </w:r>
          </w:p>
        </w:tc>
        <w:tc>
          <w:tcPr>
            <w:tcW w:w="510" w:type="dxa"/>
            <w:vAlign w:val="center"/>
          </w:tcPr>
          <w:p w14:paraId="789A60B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557E443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F5040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9D145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striking down</w:t>
            </w:r>
          </w:p>
        </w:tc>
        <w:tc>
          <w:tcPr>
            <w:tcW w:w="510" w:type="dxa"/>
            <w:vAlign w:val="center"/>
          </w:tcPr>
          <w:p w14:paraId="1D218D65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2B3A1BFB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BCB24B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BAEFF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remedies – s. 52 – suspending declarations of invalidity</w:t>
            </w:r>
          </w:p>
        </w:tc>
        <w:tc>
          <w:tcPr>
            <w:tcW w:w="510" w:type="dxa"/>
            <w:vAlign w:val="center"/>
          </w:tcPr>
          <w:p w14:paraId="4293B2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724D9F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8CA1C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4B37B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sentencing – s. 12 – cruel and unusual treatment or punishment</w:t>
            </w:r>
          </w:p>
        </w:tc>
        <w:tc>
          <w:tcPr>
            <w:tcW w:w="510" w:type="dxa"/>
            <w:vAlign w:val="center"/>
          </w:tcPr>
          <w:p w14:paraId="6FA682F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61FBED4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93E37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C5688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severance – remedies under s. 52</w:t>
            </w:r>
          </w:p>
        </w:tc>
        <w:tc>
          <w:tcPr>
            <w:tcW w:w="510" w:type="dxa"/>
            <w:vAlign w:val="center"/>
          </w:tcPr>
          <w:p w14:paraId="5C48AD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B39F37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6D8B8D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EBF0F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Charter – social science evidence – </w:t>
            </w:r>
            <w:r>
              <w:rPr>
                <w:rFonts w:ascii="Arial Narrow Italic" w:hAnsi="Arial Narrow Italic"/>
                <w:sz w:val="20"/>
              </w:rPr>
              <w:t>SEE “Charter – proving a claim”</w:t>
            </w:r>
          </w:p>
        </w:tc>
        <w:tc>
          <w:tcPr>
            <w:tcW w:w="510" w:type="dxa"/>
            <w:vAlign w:val="center"/>
          </w:tcPr>
          <w:p w14:paraId="4089431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6CDFF57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8D5B9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37C51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striking down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2D907A37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1AAD63AE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797B6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3CC1B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suspending declarations of invalidity – remedies under s. 52</w:t>
            </w:r>
          </w:p>
        </w:tc>
        <w:tc>
          <w:tcPr>
            <w:tcW w:w="510" w:type="dxa"/>
            <w:vAlign w:val="center"/>
          </w:tcPr>
          <w:p w14:paraId="57E0AC1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13634E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9049B1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31711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test litigation – breach of statute by test litigant</w:t>
            </w:r>
          </w:p>
        </w:tc>
        <w:tc>
          <w:tcPr>
            <w:tcW w:w="510" w:type="dxa"/>
            <w:vAlign w:val="center"/>
          </w:tcPr>
          <w:p w14:paraId="0DCC460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600</w:t>
            </w:r>
          </w:p>
        </w:tc>
        <w:tc>
          <w:tcPr>
            <w:tcW w:w="427" w:type="dxa"/>
            <w:vAlign w:val="center"/>
          </w:tcPr>
          <w:p w14:paraId="70A6C5F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AC686C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BFD5B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unreasonable search and seizure – privacy rights – s. 8</w:t>
            </w:r>
          </w:p>
        </w:tc>
        <w:tc>
          <w:tcPr>
            <w:tcW w:w="510" w:type="dxa"/>
            <w:vAlign w:val="center"/>
          </w:tcPr>
          <w:p w14:paraId="6A77BF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F0AC22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98501B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2DD79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who is protected – citizens, permanent residents, corporations</w:t>
            </w:r>
          </w:p>
        </w:tc>
        <w:tc>
          <w:tcPr>
            <w:tcW w:w="510" w:type="dxa"/>
            <w:vAlign w:val="center"/>
          </w:tcPr>
          <w:p w14:paraId="02B3838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BC9D88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97DFF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9EF92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values – application to common law</w:t>
            </w:r>
          </w:p>
        </w:tc>
        <w:tc>
          <w:tcPr>
            <w:tcW w:w="510" w:type="dxa"/>
            <w:vAlign w:val="center"/>
          </w:tcPr>
          <w:p w14:paraId="03C9582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5E47F48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B5FDC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C813A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values as interpretive tool – admin tribunals</w:t>
            </w:r>
          </w:p>
        </w:tc>
        <w:tc>
          <w:tcPr>
            <w:tcW w:w="510" w:type="dxa"/>
            <w:vAlign w:val="center"/>
          </w:tcPr>
          <w:p w14:paraId="33A6D76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22A1FC7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4EF44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A51C2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Chaterjee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Ontario </w:t>
            </w:r>
            <w:r>
              <w:rPr>
                <w:rFonts w:ascii="Arial Narrow" w:hAnsi="Arial Narrow"/>
                <w:sz w:val="20"/>
              </w:rPr>
              <w:t>– division of powers – pith and substance analysis</w:t>
            </w:r>
          </w:p>
        </w:tc>
        <w:tc>
          <w:tcPr>
            <w:tcW w:w="510" w:type="dxa"/>
            <w:vAlign w:val="center"/>
          </w:tcPr>
          <w:p w14:paraId="4434D80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3A51888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213A7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2ADCC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Civil remedies against public authorities – federal </w:t>
            </w:r>
            <w:r>
              <w:rPr>
                <w:rFonts w:ascii="Arial Narrow" w:hAnsi="Arial Narrow"/>
                <w:sz w:val="20"/>
              </w:rPr>
              <w:lastRenderedPageBreak/>
              <w:t xml:space="preserve">– </w:t>
            </w:r>
            <w:r>
              <w:rPr>
                <w:rFonts w:ascii="Arial Narrow Italic" w:hAnsi="Arial Narrow Italic"/>
                <w:sz w:val="20"/>
              </w:rPr>
              <w:t>Crown Liability and Proceedings Act</w:t>
            </w:r>
          </w:p>
        </w:tc>
        <w:tc>
          <w:tcPr>
            <w:tcW w:w="510" w:type="dxa"/>
            <w:vAlign w:val="center"/>
          </w:tcPr>
          <w:p w14:paraId="69643A5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566</w:t>
            </w:r>
          </w:p>
        </w:tc>
        <w:tc>
          <w:tcPr>
            <w:tcW w:w="427" w:type="dxa"/>
            <w:vAlign w:val="center"/>
          </w:tcPr>
          <w:p w14:paraId="451E43F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26FC2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CC866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Civil remedies against public authorities – provincial – </w:t>
            </w:r>
            <w:r>
              <w:rPr>
                <w:rFonts w:ascii="Arial Narrow Italic" w:hAnsi="Arial Narrow Italic"/>
                <w:sz w:val="20"/>
              </w:rPr>
              <w:t>Proceedings Against the Crown Act</w:t>
            </w:r>
          </w:p>
        </w:tc>
        <w:tc>
          <w:tcPr>
            <w:tcW w:w="510" w:type="dxa"/>
            <w:vAlign w:val="center"/>
          </w:tcPr>
          <w:p w14:paraId="7F4CE67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44328D9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618B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7972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Collateral challenge – definition – constitutional procedure</w:t>
            </w:r>
          </w:p>
        </w:tc>
        <w:tc>
          <w:tcPr>
            <w:tcW w:w="510" w:type="dxa"/>
            <w:vAlign w:val="center"/>
          </w:tcPr>
          <w:p w14:paraId="722946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3492CA2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13473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F1FCE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Committee for Justice and Liberty v. National Energy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Board </w:t>
            </w:r>
            <w:r>
              <w:rPr>
                <w:rFonts w:ascii="Arial Narrow" w:hAnsi="Arial Narrow"/>
                <w:sz w:val="20"/>
              </w:rPr>
              <w:t>– reasonable apprehension of bias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test</w:t>
            </w:r>
          </w:p>
        </w:tc>
        <w:tc>
          <w:tcPr>
            <w:tcW w:w="510" w:type="dxa"/>
            <w:vAlign w:val="center"/>
          </w:tcPr>
          <w:p w14:paraId="024D9C5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76727D0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F9244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46B2B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Common law – can be challenged where inconsistent with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values</w:t>
            </w:r>
          </w:p>
        </w:tc>
        <w:tc>
          <w:tcPr>
            <w:tcW w:w="510" w:type="dxa"/>
            <w:vAlign w:val="center"/>
          </w:tcPr>
          <w:p w14:paraId="57426AB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2A05120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9B2CCD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4F63A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Constitution Act, 1867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05AF7CB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850AAB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944C88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69D03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Constitution Act, 1982 </w:t>
            </w:r>
            <w:r>
              <w:rPr>
                <w:rFonts w:ascii="Arial Narrow" w:hAnsi="Arial Narrow"/>
                <w:sz w:val="20"/>
              </w:rPr>
              <w:t xml:space="preserve">– remedies under ss. 24 and 52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1566967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1BA7391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EA6219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CD6883" w14:textId="77777777" w:rsidR="00A72EAE" w:rsidRPr="009E3C8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Constitution Act</w:t>
            </w:r>
            <w:r>
              <w:rPr>
                <w:rFonts w:ascii="Arial Narrow" w:hAnsi="Arial Narrow"/>
                <w:sz w:val="20"/>
              </w:rPr>
              <w:t>, s. 91(24) – federal government – extinguishment of Aboriginal and treaty rights</w:t>
            </w:r>
          </w:p>
        </w:tc>
        <w:tc>
          <w:tcPr>
            <w:tcW w:w="510" w:type="dxa"/>
            <w:vAlign w:val="center"/>
          </w:tcPr>
          <w:p w14:paraId="092F4D7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76BBD34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888E2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6377F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exemption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</w:t>
            </w:r>
          </w:p>
        </w:tc>
        <w:tc>
          <w:tcPr>
            <w:tcW w:w="510" w:type="dxa"/>
            <w:vAlign w:val="center"/>
          </w:tcPr>
          <w:p w14:paraId="10FF38D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2A3399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947A0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75027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</w:t>
            </w:r>
            <w:r>
              <w:rPr>
                <w:rFonts w:ascii="Arial Narrow" w:hAnsi="Arial Narrow"/>
                <w:sz w:val="20"/>
              </w:rPr>
              <w:t xml:space="preserve"> – action vs. application – superior courts</w:t>
            </w:r>
          </w:p>
        </w:tc>
        <w:tc>
          <w:tcPr>
            <w:tcW w:w="510" w:type="dxa"/>
            <w:vAlign w:val="center"/>
          </w:tcPr>
          <w:p w14:paraId="61ED886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09759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DC2E53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ECD28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admin tribunals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values</w:t>
            </w:r>
          </w:p>
        </w:tc>
        <w:tc>
          <w:tcPr>
            <w:tcW w:w="510" w:type="dxa"/>
            <w:vAlign w:val="center"/>
          </w:tcPr>
          <w:p w14:paraId="5756A89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328D9CB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85193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E1223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express jurisdiction</w:t>
            </w:r>
          </w:p>
        </w:tc>
        <w:tc>
          <w:tcPr>
            <w:tcW w:w="510" w:type="dxa"/>
            <w:vAlign w:val="center"/>
          </w:tcPr>
          <w:p w14:paraId="2FE95AC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264CB89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E7186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A4D19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admin tribunals – implied jurisdiction – </w:t>
            </w:r>
            <w:r>
              <w:rPr>
                <w:rFonts w:ascii="Arial Narrow" w:hAnsi="Arial Narrow"/>
                <w:i/>
                <w:sz w:val="20"/>
              </w:rPr>
              <w:t>Nova Scotia (Workers’ Comp. Board) v. Martin</w:t>
            </w:r>
          </w:p>
        </w:tc>
        <w:tc>
          <w:tcPr>
            <w:tcW w:w="510" w:type="dxa"/>
            <w:vAlign w:val="center"/>
          </w:tcPr>
          <w:p w14:paraId="7A09C70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642444D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1938D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43D3FF" w14:textId="77777777" w:rsidR="00A72EAE" w:rsidRPr="005D7F45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jurisdiction</w:t>
            </w:r>
          </w:p>
        </w:tc>
        <w:tc>
          <w:tcPr>
            <w:tcW w:w="510" w:type="dxa"/>
            <w:vAlign w:val="center"/>
          </w:tcPr>
          <w:p w14:paraId="7928B26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29501DC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7844D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98D333" w14:textId="77777777" w:rsidR="00A72EAE" w:rsidRDefault="00A72EAE" w:rsidP="00B87F4E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admin tribunals – jurisdiction – failure to exercise jurisdiction – error of law </w:t>
            </w:r>
          </w:p>
        </w:tc>
        <w:tc>
          <w:tcPr>
            <w:tcW w:w="510" w:type="dxa"/>
            <w:vAlign w:val="center"/>
          </w:tcPr>
          <w:p w14:paraId="45EAFA3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628DAED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DED3F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F5DFC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admin tribunals – jurisdiction – remedies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24(1)</w:t>
            </w:r>
          </w:p>
        </w:tc>
        <w:tc>
          <w:tcPr>
            <w:tcW w:w="510" w:type="dxa"/>
            <w:vAlign w:val="center"/>
          </w:tcPr>
          <w:p w14:paraId="039759F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6063562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952029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A1859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limited effect of constitutional ruling</w:t>
            </w:r>
          </w:p>
        </w:tc>
        <w:tc>
          <w:tcPr>
            <w:tcW w:w="510" w:type="dxa"/>
            <w:vAlign w:val="center"/>
          </w:tcPr>
          <w:p w14:paraId="5C8E18C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5258F23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1955E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3A8BC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notice of constitutional question</w:t>
            </w:r>
          </w:p>
        </w:tc>
        <w:tc>
          <w:tcPr>
            <w:tcW w:w="510" w:type="dxa"/>
            <w:vAlign w:val="center"/>
          </w:tcPr>
          <w:p w14:paraId="53108C0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3CD9FB9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72056A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5E84C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admin tribunals – procedural considerations</w:t>
            </w:r>
          </w:p>
        </w:tc>
        <w:tc>
          <w:tcPr>
            <w:tcW w:w="510" w:type="dxa"/>
            <w:vAlign w:val="center"/>
          </w:tcPr>
          <w:p w14:paraId="0719271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6AFD011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DFC21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A9297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applications for JR of admin decisions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</w:t>
            </w:r>
          </w:p>
        </w:tc>
        <w:tc>
          <w:tcPr>
            <w:tcW w:w="510" w:type="dxa"/>
            <w:vAlign w:val="center"/>
          </w:tcPr>
          <w:p w14:paraId="3AA7E00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549DEF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02A6A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A758B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breach of statute by test litigant – narrow exception to </w:t>
            </w:r>
            <w:r>
              <w:rPr>
                <w:rFonts w:ascii="Arial Narrow Italic" w:hAnsi="Arial Narrow Italic"/>
                <w:sz w:val="20"/>
              </w:rPr>
              <w:t>Rules of Professional Conduct</w:t>
            </w:r>
          </w:p>
        </w:tc>
        <w:tc>
          <w:tcPr>
            <w:tcW w:w="510" w:type="dxa"/>
            <w:vAlign w:val="center"/>
          </w:tcPr>
          <w:p w14:paraId="5B02D3B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600</w:t>
            </w:r>
          </w:p>
        </w:tc>
        <w:tc>
          <w:tcPr>
            <w:tcW w:w="427" w:type="dxa"/>
            <w:vAlign w:val="center"/>
          </w:tcPr>
          <w:p w14:paraId="1680397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208A27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51B2A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collateral challenge – definition</w:t>
            </w:r>
          </w:p>
        </w:tc>
        <w:tc>
          <w:tcPr>
            <w:tcW w:w="510" w:type="dxa"/>
            <w:vAlign w:val="center"/>
          </w:tcPr>
          <w:p w14:paraId="0740079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3E6EF70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D63F0B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4D628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direct challenge – definition</w:t>
            </w:r>
          </w:p>
        </w:tc>
        <w:tc>
          <w:tcPr>
            <w:tcW w:w="510" w:type="dxa"/>
            <w:vAlign w:val="center"/>
          </w:tcPr>
          <w:p w14:paraId="13CACBB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5F4DA3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6911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1708B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lastRenderedPageBreak/>
              <w:t xml:space="preserve">Constitutional procedure – </w:t>
            </w:r>
            <w:proofErr w:type="spellStart"/>
            <w:r>
              <w:rPr>
                <w:rFonts w:ascii="Arial Narrow Bold" w:hAnsi="Arial Narrow Bold"/>
                <w:sz w:val="20"/>
              </w:rPr>
              <w:t>Div</w:t>
            </w:r>
            <w:proofErr w:type="spellEnd"/>
            <w:r>
              <w:rPr>
                <w:rFonts w:ascii="Arial Narrow Bold" w:hAnsi="Arial Narrow Bold"/>
                <w:sz w:val="20"/>
              </w:rPr>
              <w:t xml:space="preserve"> Court </w:t>
            </w:r>
            <w:r>
              <w:rPr>
                <w:rFonts w:ascii="Arial Narrow" w:hAnsi="Arial Narrow"/>
                <w:sz w:val="20"/>
              </w:rPr>
              <w:t>– damages not available</w:t>
            </w:r>
          </w:p>
        </w:tc>
        <w:tc>
          <w:tcPr>
            <w:tcW w:w="510" w:type="dxa"/>
            <w:vAlign w:val="center"/>
          </w:tcPr>
          <w:p w14:paraId="54B6BCD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1771B9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481603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C47EC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evidence</w:t>
            </w:r>
          </w:p>
        </w:tc>
        <w:tc>
          <w:tcPr>
            <w:tcW w:w="510" w:type="dxa"/>
            <w:vAlign w:val="center"/>
          </w:tcPr>
          <w:p w14:paraId="7B3F992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1E2CA8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AC8EE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54BB0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interim relief</w:t>
            </w:r>
          </w:p>
        </w:tc>
        <w:tc>
          <w:tcPr>
            <w:tcW w:w="510" w:type="dxa"/>
            <w:vAlign w:val="center"/>
          </w:tcPr>
          <w:p w14:paraId="3798CDD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7C1DB5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C1FC1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6440C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jurisdiction – only collateral challenges</w:t>
            </w:r>
          </w:p>
        </w:tc>
        <w:tc>
          <w:tcPr>
            <w:tcW w:w="510" w:type="dxa"/>
            <w:vAlign w:val="center"/>
          </w:tcPr>
          <w:p w14:paraId="0615F58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1377F5D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0E4F4C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5E919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notice of constitutional question</w:t>
            </w:r>
          </w:p>
        </w:tc>
        <w:tc>
          <w:tcPr>
            <w:tcW w:w="510" w:type="dxa"/>
            <w:vAlign w:val="center"/>
          </w:tcPr>
          <w:p w14:paraId="6C04EDA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141E13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C1CA0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8EC9C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notice requirements</w:t>
            </w:r>
          </w:p>
        </w:tc>
        <w:tc>
          <w:tcPr>
            <w:tcW w:w="510" w:type="dxa"/>
            <w:vAlign w:val="center"/>
          </w:tcPr>
          <w:p w14:paraId="62E001E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46B5EB9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BA226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4DFBD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factors influencing choice of procedure</w:t>
            </w:r>
          </w:p>
        </w:tc>
        <w:tc>
          <w:tcPr>
            <w:tcW w:w="510" w:type="dxa"/>
            <w:vAlign w:val="center"/>
          </w:tcPr>
          <w:p w14:paraId="27C3813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1241A6A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C835C7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AE9A7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Federal Court</w:t>
            </w:r>
          </w:p>
        </w:tc>
        <w:tc>
          <w:tcPr>
            <w:tcW w:w="510" w:type="dxa"/>
            <w:vAlign w:val="center"/>
          </w:tcPr>
          <w:p w14:paraId="4368031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84C91D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B651D6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80058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action vs. application</w:t>
            </w:r>
          </w:p>
        </w:tc>
        <w:tc>
          <w:tcPr>
            <w:tcW w:w="510" w:type="dxa"/>
            <w:vAlign w:val="center"/>
          </w:tcPr>
          <w:p w14:paraId="08609E8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7DAF5BE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9CE3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26080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</w:t>
            </w:r>
            <w:r>
              <w:rPr>
                <w:rFonts w:ascii="Arial Narrow Italic" w:hAnsi="Arial Narrow Italic"/>
                <w:sz w:val="20"/>
              </w:rPr>
              <w:t>Crown Liability and Proceedings Act</w:t>
            </w:r>
          </w:p>
        </w:tc>
        <w:tc>
          <w:tcPr>
            <w:tcW w:w="510" w:type="dxa"/>
            <w:vAlign w:val="center"/>
          </w:tcPr>
          <w:p w14:paraId="2B0FE2C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1B7C5A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0565C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E2CBA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</w:t>
            </w:r>
            <w:proofErr w:type="spellStart"/>
            <w:r>
              <w:rPr>
                <w:rFonts w:ascii="Arial Narrow" w:hAnsi="Arial Narrow"/>
                <w:sz w:val="20"/>
              </w:rPr>
              <w:t>intervenors</w:t>
            </w:r>
            <w:proofErr w:type="spellEnd"/>
          </w:p>
        </w:tc>
        <w:tc>
          <w:tcPr>
            <w:tcW w:w="510" w:type="dxa"/>
            <w:vAlign w:val="center"/>
          </w:tcPr>
          <w:p w14:paraId="0CAC39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461936C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EA17A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2E85D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applications for JR</w:t>
            </w:r>
          </w:p>
        </w:tc>
        <w:tc>
          <w:tcPr>
            <w:tcW w:w="510" w:type="dxa"/>
            <w:vAlign w:val="center"/>
          </w:tcPr>
          <w:p w14:paraId="3FD20C0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78256BB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9566E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D653F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jurisdiction – cannot hear direct challenges – </w:t>
            </w:r>
            <w:r>
              <w:rPr>
                <w:rFonts w:ascii="Arial Narrow Italic" w:hAnsi="Arial Narrow Italic"/>
                <w:sz w:val="20"/>
              </w:rPr>
              <w:t>Northern Telecom</w:t>
            </w:r>
          </w:p>
        </w:tc>
        <w:tc>
          <w:tcPr>
            <w:tcW w:w="510" w:type="dxa"/>
            <w:vAlign w:val="center"/>
          </w:tcPr>
          <w:p w14:paraId="70603C1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36EE26E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A7524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DC6893" w14:textId="77777777" w:rsidR="00A72EAE" w:rsidRPr="00B13833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concurrent jurisdiction – liability of federal Crown</w:t>
            </w:r>
          </w:p>
        </w:tc>
        <w:tc>
          <w:tcPr>
            <w:tcW w:w="510" w:type="dxa"/>
            <w:vAlign w:val="center"/>
          </w:tcPr>
          <w:p w14:paraId="29A4963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A23620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D0C27F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FF664E" w14:textId="77777777" w:rsidR="00A72EAE" w:rsidRPr="00B13833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exclusive jurisdiction – re: federal board/comm./tribunal</w:t>
            </w:r>
          </w:p>
        </w:tc>
        <w:tc>
          <w:tcPr>
            <w:tcW w:w="510" w:type="dxa"/>
            <w:vAlign w:val="center"/>
          </w:tcPr>
          <w:p w14:paraId="6304BC9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47C3C9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01682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6508E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jurisdiction – liability of federal Crown – concurrent jurisdiction</w:t>
            </w:r>
          </w:p>
        </w:tc>
        <w:tc>
          <w:tcPr>
            <w:tcW w:w="510" w:type="dxa"/>
            <w:vAlign w:val="center"/>
          </w:tcPr>
          <w:p w14:paraId="3D13D3F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3CB7BE9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94D9BA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9D94E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jurisdiction – preferred forum – expertise – </w:t>
            </w:r>
            <w:r>
              <w:rPr>
                <w:rFonts w:ascii="Arial Narrow" w:hAnsi="Arial Narrow"/>
                <w:i/>
                <w:sz w:val="20"/>
              </w:rPr>
              <w:t>Reza v. Canada</w:t>
            </w:r>
          </w:p>
        </w:tc>
        <w:tc>
          <w:tcPr>
            <w:tcW w:w="510" w:type="dxa"/>
            <w:vAlign w:val="center"/>
          </w:tcPr>
          <w:p w14:paraId="7A655F7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1E0C4F5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1D7B8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58E24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limitation periods</w:t>
            </w:r>
          </w:p>
        </w:tc>
        <w:tc>
          <w:tcPr>
            <w:tcW w:w="510" w:type="dxa"/>
            <w:vAlign w:val="center"/>
          </w:tcPr>
          <w:p w14:paraId="19ECC53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2B575E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2C8C5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BE086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notice of constitutional question – </w:t>
            </w:r>
            <w:r>
              <w:rPr>
                <w:rFonts w:ascii="Arial Narrow Italic" w:hAnsi="Arial Narrow Italic"/>
                <w:sz w:val="20"/>
              </w:rPr>
              <w:t xml:space="preserve">FCA </w:t>
            </w:r>
            <w:r>
              <w:rPr>
                <w:rFonts w:ascii="Arial Narrow" w:hAnsi="Arial Narrow"/>
                <w:sz w:val="20"/>
              </w:rPr>
              <w:t xml:space="preserve">vs. provincial </w:t>
            </w:r>
            <w:r>
              <w:rPr>
                <w:rFonts w:ascii="Arial Narrow Italic" w:hAnsi="Arial Narrow Italic"/>
                <w:sz w:val="20"/>
              </w:rPr>
              <w:t>Courts of Justice Act</w:t>
            </w:r>
          </w:p>
        </w:tc>
        <w:tc>
          <w:tcPr>
            <w:tcW w:w="510" w:type="dxa"/>
            <w:vAlign w:val="center"/>
          </w:tcPr>
          <w:p w14:paraId="2454F3D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A1A6CB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0FCF9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47DB9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notice requirements (not incorporated from provincial statutes)</w:t>
            </w:r>
          </w:p>
        </w:tc>
        <w:tc>
          <w:tcPr>
            <w:tcW w:w="510" w:type="dxa"/>
            <w:vAlign w:val="center"/>
          </w:tcPr>
          <w:p w14:paraId="4EC1390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5B4B7D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E0D0BD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EAB0E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Federal Court – parties – AG Canada</w:t>
            </w:r>
          </w:p>
        </w:tc>
        <w:tc>
          <w:tcPr>
            <w:tcW w:w="510" w:type="dxa"/>
            <w:vAlign w:val="center"/>
          </w:tcPr>
          <w:p w14:paraId="3D905CB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6419C1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E3AA3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8D3FB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Federal Court – </w:t>
            </w:r>
            <w:r>
              <w:rPr>
                <w:rFonts w:ascii="Arial Narrow" w:hAnsi="Arial Narrow"/>
                <w:sz w:val="20"/>
              </w:rPr>
              <w:lastRenderedPageBreak/>
              <w:t>procedural options</w:t>
            </w:r>
          </w:p>
        </w:tc>
        <w:tc>
          <w:tcPr>
            <w:tcW w:w="510" w:type="dxa"/>
            <w:vAlign w:val="center"/>
          </w:tcPr>
          <w:p w14:paraId="26D2BAF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597</w:t>
            </w:r>
          </w:p>
        </w:tc>
        <w:tc>
          <w:tcPr>
            <w:tcW w:w="427" w:type="dxa"/>
            <w:vAlign w:val="center"/>
          </w:tcPr>
          <w:p w14:paraId="7D5C050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0652D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A72475" w14:textId="77777777" w:rsidR="00A72EAE" w:rsidRPr="003B4D10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lastRenderedPageBreak/>
              <w:t>Constitutional procedure – jurisdiction</w:t>
            </w:r>
            <w:r>
              <w:rPr>
                <w:rFonts w:ascii="Arial Narrow" w:hAnsi="Arial Narrow"/>
                <w:sz w:val="20"/>
              </w:rPr>
              <w:t xml:space="preserve"> – admin tribunals</w:t>
            </w:r>
          </w:p>
        </w:tc>
        <w:tc>
          <w:tcPr>
            <w:tcW w:w="510" w:type="dxa"/>
            <w:vAlign w:val="center"/>
          </w:tcPr>
          <w:p w14:paraId="392E5DD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42D2E9E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5BAA4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97D90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jurisdiction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</w:t>
            </w:r>
          </w:p>
        </w:tc>
        <w:tc>
          <w:tcPr>
            <w:tcW w:w="510" w:type="dxa"/>
            <w:vAlign w:val="center"/>
          </w:tcPr>
          <w:p w14:paraId="406D3AE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3978AE1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4B0AB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3F28C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jurisdiction – Federal Court</w:t>
            </w:r>
          </w:p>
        </w:tc>
        <w:tc>
          <w:tcPr>
            <w:tcW w:w="510" w:type="dxa"/>
            <w:vAlign w:val="center"/>
          </w:tcPr>
          <w:p w14:paraId="460BE9E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2182E2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5B5E68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C0575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jurisdiction – superior courts</w:t>
            </w:r>
          </w:p>
        </w:tc>
        <w:tc>
          <w:tcPr>
            <w:tcW w:w="510" w:type="dxa"/>
            <w:vAlign w:val="center"/>
          </w:tcPr>
          <w:p w14:paraId="55E2D5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A3030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F8B65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588B6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limitation periods – superior courts </w:t>
            </w:r>
          </w:p>
        </w:tc>
        <w:tc>
          <w:tcPr>
            <w:tcW w:w="510" w:type="dxa"/>
            <w:vAlign w:val="center"/>
          </w:tcPr>
          <w:p w14:paraId="35E8AC2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3A216E2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928BC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C938D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mootness – determining mootness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Borowski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 (Attorney General)</w:t>
            </w:r>
          </w:p>
        </w:tc>
        <w:tc>
          <w:tcPr>
            <w:tcW w:w="510" w:type="dxa"/>
            <w:vAlign w:val="center"/>
          </w:tcPr>
          <w:p w14:paraId="6F96DF3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09FDD0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ECD89F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E18A8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mootness </w:t>
            </w:r>
            <w:r>
              <w:rPr>
                <w:rFonts w:ascii="Arial Narrow" w:hAnsi="Arial Narrow"/>
                <w:sz w:val="20"/>
              </w:rPr>
              <w:t>– factors influencing discretion to hear moot appeal</w:t>
            </w:r>
          </w:p>
        </w:tc>
        <w:tc>
          <w:tcPr>
            <w:tcW w:w="510" w:type="dxa"/>
            <w:vAlign w:val="center"/>
          </w:tcPr>
          <w:p w14:paraId="198C31A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325916D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AD979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32EFD2" w14:textId="77777777" w:rsidR="00A72EAE" w:rsidRPr="00D8758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mootness – how moot cases arise</w:t>
            </w:r>
          </w:p>
        </w:tc>
        <w:tc>
          <w:tcPr>
            <w:tcW w:w="510" w:type="dxa"/>
            <w:vAlign w:val="center"/>
          </w:tcPr>
          <w:p w14:paraId="1327276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601E70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B63FD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17235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mootness – strategies for avoiding mootness</w:t>
            </w:r>
          </w:p>
        </w:tc>
        <w:tc>
          <w:tcPr>
            <w:tcW w:w="510" w:type="dxa"/>
            <w:vAlign w:val="center"/>
          </w:tcPr>
          <w:p w14:paraId="16B322B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14767B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DD896C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F1ABE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Constitutional procedure – notice of constitutional question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</w:t>
            </w:r>
          </w:p>
        </w:tc>
        <w:tc>
          <w:tcPr>
            <w:tcW w:w="510" w:type="dxa"/>
            <w:vAlign w:val="center"/>
          </w:tcPr>
          <w:p w14:paraId="435BC3F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327A6DF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221EE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1C73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notice of constitutional question – failure to give notice</w:t>
            </w:r>
          </w:p>
        </w:tc>
        <w:tc>
          <w:tcPr>
            <w:tcW w:w="510" w:type="dxa"/>
            <w:vAlign w:val="center"/>
          </w:tcPr>
          <w:p w14:paraId="7374E81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66F8CEC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94F178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D2288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notice of constitutional question – Federal Court</w:t>
            </w:r>
          </w:p>
        </w:tc>
        <w:tc>
          <w:tcPr>
            <w:tcW w:w="510" w:type="dxa"/>
            <w:vAlign w:val="center"/>
          </w:tcPr>
          <w:p w14:paraId="0B68990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46C39C4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4E9E2A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455CD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notice of constitutional question – superior courts</w:t>
            </w:r>
          </w:p>
        </w:tc>
        <w:tc>
          <w:tcPr>
            <w:tcW w:w="510" w:type="dxa"/>
            <w:vAlign w:val="center"/>
          </w:tcPr>
          <w:p w14:paraId="6206BD8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37A1CAB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375683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A938A0" w14:textId="77777777" w:rsidR="00A72EAE" w:rsidRDefault="00A72EAE" w:rsidP="00BB299D">
            <w:pPr>
              <w:numPr>
                <w:ilvl w:val="0"/>
                <w:numId w:val="4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parties – superior courts</w:t>
            </w:r>
          </w:p>
        </w:tc>
        <w:tc>
          <w:tcPr>
            <w:tcW w:w="510" w:type="dxa"/>
            <w:vAlign w:val="center"/>
          </w:tcPr>
          <w:p w14:paraId="15EE13B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69761E4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8E0B1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2C8DB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provincial superior courts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1A4600C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0A995F1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62065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FA90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public interest standing</w:t>
            </w:r>
          </w:p>
        </w:tc>
        <w:tc>
          <w:tcPr>
            <w:tcW w:w="510" w:type="dxa"/>
            <w:vAlign w:val="center"/>
          </w:tcPr>
          <w:p w14:paraId="0D854C7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4DD3819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023F0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D1E86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reference – definition</w:t>
            </w:r>
          </w:p>
        </w:tc>
        <w:tc>
          <w:tcPr>
            <w:tcW w:w="510" w:type="dxa"/>
            <w:vAlign w:val="center"/>
          </w:tcPr>
          <w:p w14:paraId="06CDD6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21AD4B0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3026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D06D7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references – need for thorough factual record</w:t>
            </w:r>
          </w:p>
        </w:tc>
        <w:tc>
          <w:tcPr>
            <w:tcW w:w="510" w:type="dxa"/>
            <w:vAlign w:val="center"/>
          </w:tcPr>
          <w:p w14:paraId="5003A3E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36B3A79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98E1F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4447B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references – referring constitutional questions to ONCA or SCC</w:t>
            </w:r>
          </w:p>
        </w:tc>
        <w:tc>
          <w:tcPr>
            <w:tcW w:w="510" w:type="dxa"/>
            <w:vAlign w:val="center"/>
          </w:tcPr>
          <w:p w14:paraId="2D7F21E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014545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F1C750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5EAA5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remedies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24 – restricted to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violations</w:t>
            </w:r>
          </w:p>
        </w:tc>
        <w:tc>
          <w:tcPr>
            <w:tcW w:w="510" w:type="dxa"/>
            <w:vAlign w:val="center"/>
          </w:tcPr>
          <w:p w14:paraId="16BA942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0ED2FC0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EDA3C7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C2ACD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standing</w:t>
            </w:r>
          </w:p>
        </w:tc>
        <w:tc>
          <w:tcPr>
            <w:tcW w:w="510" w:type="dxa"/>
            <w:vAlign w:val="center"/>
          </w:tcPr>
          <w:p w14:paraId="746D946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2AE2837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8D12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4F02C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standing – public interest standing</w:t>
            </w:r>
          </w:p>
        </w:tc>
        <w:tc>
          <w:tcPr>
            <w:tcW w:w="510" w:type="dxa"/>
            <w:vAlign w:val="center"/>
          </w:tcPr>
          <w:p w14:paraId="6329E90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59DC8FF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C3F1F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FE97A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standing – test – </w:t>
            </w:r>
            <w:r>
              <w:rPr>
                <w:rFonts w:ascii="Arial Narrow Italic" w:hAnsi="Arial Narrow Italic"/>
                <w:sz w:val="20"/>
              </w:rPr>
              <w:t>Canadian Council of Churches</w:t>
            </w:r>
          </w:p>
        </w:tc>
        <w:tc>
          <w:tcPr>
            <w:tcW w:w="510" w:type="dxa"/>
            <w:vAlign w:val="center"/>
          </w:tcPr>
          <w:p w14:paraId="6D0C6C3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10A104B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135B4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ACFE9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strategies for avoiding mootness</w:t>
            </w:r>
          </w:p>
        </w:tc>
        <w:tc>
          <w:tcPr>
            <w:tcW w:w="510" w:type="dxa"/>
            <w:vAlign w:val="center"/>
          </w:tcPr>
          <w:p w14:paraId="43B09D6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699481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F23FB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566E5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Constitutional procedure – Superior Court of Justice (ON)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02D2FB4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2FEE70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8437E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8336C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Constitutional procedure – superior courts</w:t>
            </w:r>
            <w:r>
              <w:rPr>
                <w:rFonts w:ascii="Arial Narrow" w:hAnsi="Arial Narrow"/>
                <w:sz w:val="20"/>
              </w:rPr>
              <w:t xml:space="preserve"> – applicant’s choice of proceeding not final</w:t>
            </w:r>
          </w:p>
        </w:tc>
        <w:tc>
          <w:tcPr>
            <w:tcW w:w="510" w:type="dxa"/>
            <w:vAlign w:val="center"/>
          </w:tcPr>
          <w:p w14:paraId="3BDA692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4501FC9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BEDF2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60771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superior courts – inherent jurisdiction</w:t>
            </w:r>
          </w:p>
        </w:tc>
        <w:tc>
          <w:tcPr>
            <w:tcW w:w="510" w:type="dxa"/>
            <w:vAlign w:val="center"/>
          </w:tcPr>
          <w:p w14:paraId="1FC4792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4F68ACE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8CEAF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84D4C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courts – jurisdiction – </w:t>
            </w:r>
            <w:r>
              <w:rPr>
                <w:rFonts w:ascii="Arial Narrow Italic" w:hAnsi="Arial Narrow Italic"/>
                <w:sz w:val="20"/>
              </w:rPr>
              <w:t>Courts of Justice Act (CJA)</w:t>
            </w:r>
          </w:p>
        </w:tc>
        <w:tc>
          <w:tcPr>
            <w:tcW w:w="510" w:type="dxa"/>
            <w:vAlign w:val="center"/>
          </w:tcPr>
          <w:p w14:paraId="68E4CEA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2CD8EB7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8CB2A3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2E43A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superior courts – limitation periods</w:t>
            </w:r>
          </w:p>
        </w:tc>
        <w:tc>
          <w:tcPr>
            <w:tcW w:w="510" w:type="dxa"/>
            <w:vAlign w:val="center"/>
          </w:tcPr>
          <w:p w14:paraId="25E5DB7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E2266B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A350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1F283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Constitutional procedure – superior courts – parties</w:t>
            </w:r>
          </w:p>
          <w:p w14:paraId="4756B493" w14:textId="77777777" w:rsidR="00A72EAE" w:rsidRDefault="00A72EAE" w:rsidP="00BB299D">
            <w:pPr>
              <w:numPr>
                <w:ilvl w:val="0"/>
                <w:numId w:val="4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Her Majesty Queen in Right of ON – when seeking damages</w:t>
            </w:r>
          </w:p>
          <w:p w14:paraId="645A492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Attorney General ON – when challenging legislation</w:t>
            </w:r>
          </w:p>
        </w:tc>
        <w:tc>
          <w:tcPr>
            <w:tcW w:w="510" w:type="dxa"/>
            <w:vAlign w:val="center"/>
          </w:tcPr>
          <w:p w14:paraId="76B4A67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0B6332D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385F4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51675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courts – parties – </w:t>
            </w:r>
            <w:proofErr w:type="spellStart"/>
            <w:r>
              <w:rPr>
                <w:rFonts w:ascii="Arial Narrow" w:hAnsi="Arial Narrow"/>
                <w:sz w:val="20"/>
              </w:rPr>
              <w:t>intervenors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and friends of the court</w:t>
            </w:r>
          </w:p>
        </w:tc>
        <w:tc>
          <w:tcPr>
            <w:tcW w:w="510" w:type="dxa"/>
            <w:vAlign w:val="center"/>
          </w:tcPr>
          <w:p w14:paraId="00F7986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359F838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66CE8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0F9C4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Constitutional procedure – superior courts – </w:t>
            </w:r>
            <w:r>
              <w:rPr>
                <w:rFonts w:ascii="Arial Narrow Italic" w:hAnsi="Arial Narrow Italic"/>
                <w:sz w:val="20"/>
              </w:rPr>
              <w:t>Proceedings Against the Crown Act</w:t>
            </w:r>
            <w:r>
              <w:rPr>
                <w:rFonts w:ascii="Arial Narrow" w:hAnsi="Arial Narrow"/>
                <w:sz w:val="20"/>
              </w:rPr>
              <w:t xml:space="preserve"> – notice requirement when seeking damages against Crown</w:t>
            </w:r>
          </w:p>
        </w:tc>
        <w:tc>
          <w:tcPr>
            <w:tcW w:w="510" w:type="dxa"/>
            <w:vAlign w:val="center"/>
          </w:tcPr>
          <w:p w14:paraId="42EB090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4DC695C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B8535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25539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Conway (R. v.) – </w:t>
            </w:r>
            <w:r>
              <w:rPr>
                <w:rFonts w:ascii="Arial Narrow" w:hAnsi="Arial Narrow"/>
                <w:sz w:val="20"/>
              </w:rPr>
              <w:t xml:space="preserve">admin tribunals – jurisdiction to grant remedies under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24(1)</w:t>
            </w:r>
          </w:p>
        </w:tc>
        <w:tc>
          <w:tcPr>
            <w:tcW w:w="510" w:type="dxa"/>
            <w:vAlign w:val="center"/>
          </w:tcPr>
          <w:p w14:paraId="5203847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6BFCC7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8BE6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70C026" w14:textId="77777777" w:rsidR="00A72EAE" w:rsidRPr="00BB004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Coroners Act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208829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22A365F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F635E5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1AD0C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Costs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context – proving costs</w:t>
            </w:r>
          </w:p>
        </w:tc>
        <w:tc>
          <w:tcPr>
            <w:tcW w:w="510" w:type="dxa"/>
            <w:vAlign w:val="center"/>
          </w:tcPr>
          <w:p w14:paraId="62C74D1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12E6129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3541A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227917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Court of competent jurisdiction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</w:t>
            </w:r>
          </w:p>
        </w:tc>
        <w:tc>
          <w:tcPr>
            <w:tcW w:w="510" w:type="dxa"/>
            <w:vAlign w:val="center"/>
          </w:tcPr>
          <w:p w14:paraId="0303615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33BAE0F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EB54F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96E87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Court of competent jurisdiction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can include admin tribunals</w:t>
            </w:r>
          </w:p>
        </w:tc>
        <w:tc>
          <w:tcPr>
            <w:tcW w:w="510" w:type="dxa"/>
            <w:vAlign w:val="center"/>
          </w:tcPr>
          <w:p w14:paraId="74623F0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7818E92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F0FB5D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B8466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Criminal justice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8-14</w:t>
            </w:r>
          </w:p>
          <w:p w14:paraId="0471DA54" w14:textId="77777777" w:rsidR="00A72EAE" w:rsidRDefault="00A72EAE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Unreasonable search or seizure, s. 8</w:t>
            </w:r>
          </w:p>
          <w:p w14:paraId="1ED17420" w14:textId="77777777" w:rsidR="00A72EAE" w:rsidRDefault="00A72EAE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Arbitrary detention, s. 9</w:t>
            </w:r>
          </w:p>
          <w:p w14:paraId="6460BE86" w14:textId="77777777" w:rsidR="00A72EAE" w:rsidRDefault="00A72EAE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Rights upon arrest, including </w:t>
            </w:r>
            <w:r>
              <w:rPr>
                <w:rFonts w:ascii="Arial Narrow Italic" w:hAnsi="Arial Narrow Italic"/>
                <w:sz w:val="20"/>
              </w:rPr>
              <w:t xml:space="preserve">habeas corpus, </w:t>
            </w:r>
            <w:r>
              <w:rPr>
                <w:rFonts w:ascii="Arial Narrow" w:hAnsi="Arial Narrow"/>
                <w:sz w:val="20"/>
              </w:rPr>
              <w:t>s. 10</w:t>
            </w:r>
          </w:p>
          <w:p w14:paraId="6E79FEC8" w14:textId="77777777" w:rsidR="00A72EAE" w:rsidRDefault="00A72EAE" w:rsidP="00BB299D">
            <w:pPr>
              <w:numPr>
                <w:ilvl w:val="0"/>
                <w:numId w:val="3"/>
              </w:numPr>
              <w:tabs>
                <w:tab w:val="clear" w:pos="360"/>
                <w:tab w:val="num" w:pos="460"/>
              </w:tabs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Cruel and unusual treatment, s. 12</w:t>
            </w:r>
          </w:p>
        </w:tc>
        <w:tc>
          <w:tcPr>
            <w:tcW w:w="510" w:type="dxa"/>
            <w:vAlign w:val="center"/>
          </w:tcPr>
          <w:p w14:paraId="5930324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2905656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FB014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C01DB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Criminal justice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8-14 – application in varied contexts, e.g. immigration and extradition</w:t>
            </w:r>
          </w:p>
        </w:tc>
        <w:tc>
          <w:tcPr>
            <w:tcW w:w="510" w:type="dxa"/>
            <w:vAlign w:val="center"/>
          </w:tcPr>
          <w:p w14:paraId="6D411E8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763CA5C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7CE72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195E7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Criminal law – federal power – </w:t>
            </w:r>
            <w:r>
              <w:rPr>
                <w:rFonts w:ascii="Arial Narrow Italic" w:hAnsi="Arial Narrow Italic"/>
                <w:sz w:val="20"/>
              </w:rPr>
              <w:t>SEE “Division of powers – criminal law”</w:t>
            </w:r>
          </w:p>
        </w:tc>
        <w:tc>
          <w:tcPr>
            <w:tcW w:w="510" w:type="dxa"/>
            <w:vAlign w:val="center"/>
          </w:tcPr>
          <w:p w14:paraId="754A156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362516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CC313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FE72FF" w14:textId="77777777" w:rsidR="00A72EAE" w:rsidRPr="005F5AB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Cross-examination –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10.1(b); s. 23</w:t>
            </w:r>
          </w:p>
        </w:tc>
        <w:tc>
          <w:tcPr>
            <w:tcW w:w="510" w:type="dxa"/>
            <w:vAlign w:val="center"/>
          </w:tcPr>
          <w:p w14:paraId="1D8E94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01DA3F8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DF54F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BEB5B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Crown liability – civil remedies</w:t>
            </w:r>
          </w:p>
        </w:tc>
        <w:tc>
          <w:tcPr>
            <w:tcW w:w="510" w:type="dxa"/>
            <w:vAlign w:val="center"/>
          </w:tcPr>
          <w:p w14:paraId="794EE03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1FD501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64835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034B1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Crown Liability and Proceedings Act </w:t>
            </w:r>
            <w:r>
              <w:rPr>
                <w:rFonts w:ascii="Arial Narrow" w:hAnsi="Arial Narrow"/>
                <w:sz w:val="20"/>
              </w:rPr>
              <w:t xml:space="preserve">– constitutional procedure – claims against federal </w:t>
            </w:r>
            <w:r>
              <w:rPr>
                <w:rFonts w:ascii="Arial Narrow" w:hAnsi="Arial Narrow"/>
                <w:sz w:val="20"/>
              </w:rPr>
              <w:lastRenderedPageBreak/>
              <w:t>government</w:t>
            </w:r>
          </w:p>
        </w:tc>
        <w:tc>
          <w:tcPr>
            <w:tcW w:w="510" w:type="dxa"/>
            <w:vAlign w:val="center"/>
          </w:tcPr>
          <w:p w14:paraId="346435C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597</w:t>
            </w:r>
          </w:p>
        </w:tc>
        <w:tc>
          <w:tcPr>
            <w:tcW w:w="427" w:type="dxa"/>
            <w:vAlign w:val="center"/>
          </w:tcPr>
          <w:p w14:paraId="036FE24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B4F90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43DC6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 xml:space="preserve">Crown Liability and Proceedings Act – </w:t>
            </w:r>
            <w:r>
              <w:rPr>
                <w:rFonts w:ascii="Arial Narrow" w:hAnsi="Arial Narrow"/>
                <w:sz w:val="20"/>
              </w:rPr>
              <w:t>suing the Crown for damages – federal</w:t>
            </w:r>
          </w:p>
        </w:tc>
        <w:tc>
          <w:tcPr>
            <w:tcW w:w="510" w:type="dxa"/>
            <w:vAlign w:val="center"/>
          </w:tcPr>
          <w:p w14:paraId="056BFFD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1B4398F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D087D5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55FA2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Crown prerogative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</w:t>
            </w:r>
          </w:p>
        </w:tc>
        <w:tc>
          <w:tcPr>
            <w:tcW w:w="510" w:type="dxa"/>
            <w:vAlign w:val="center"/>
          </w:tcPr>
          <w:p w14:paraId="2B6B2D5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49B76E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4B5E98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BD69E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Crown </w:t>
            </w:r>
            <w:proofErr w:type="spellStart"/>
            <w:r>
              <w:rPr>
                <w:rFonts w:ascii="Arial Narrow Italic" w:hAnsi="Arial Narrow Italic"/>
                <w:sz w:val="20"/>
              </w:rPr>
              <w:t>Zellerbach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(R. v.)</w:t>
            </w:r>
            <w:r>
              <w:rPr>
                <w:rFonts w:ascii="Arial Narrow" w:hAnsi="Arial Narrow"/>
                <w:sz w:val="20"/>
              </w:rPr>
              <w:t xml:space="preserve"> – division of powers – POGG – national concern</w:t>
            </w:r>
          </w:p>
        </w:tc>
        <w:tc>
          <w:tcPr>
            <w:tcW w:w="510" w:type="dxa"/>
            <w:vAlign w:val="center"/>
          </w:tcPr>
          <w:p w14:paraId="229430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2A0C4B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71F178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CC35C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Cruel and unusual treatment or punishment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12</w:t>
            </w:r>
          </w:p>
        </w:tc>
        <w:tc>
          <w:tcPr>
            <w:tcW w:w="510" w:type="dxa"/>
            <w:vAlign w:val="center"/>
          </w:tcPr>
          <w:p w14:paraId="523828C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F811C1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3272B6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D6CEA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CUPE v. Ontario Minister of </w:t>
            </w:r>
            <w:proofErr w:type="spellStart"/>
            <w:r>
              <w:rPr>
                <w:rFonts w:ascii="Arial Narrow Italic" w:hAnsi="Arial Narrow Italic"/>
                <w:sz w:val="20"/>
              </w:rPr>
              <w:t>Labour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reasonable apprehension of bias</w:t>
            </w:r>
          </w:p>
        </w:tc>
        <w:tc>
          <w:tcPr>
            <w:tcW w:w="510" w:type="dxa"/>
            <w:vAlign w:val="center"/>
          </w:tcPr>
          <w:p w14:paraId="41C33F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7A5B7F1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E9D7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B837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CUPE, </w:t>
            </w:r>
            <w:proofErr w:type="gramStart"/>
            <w:r>
              <w:rPr>
                <w:rFonts w:ascii="Arial Narrow Italic" w:hAnsi="Arial Narrow Italic"/>
                <w:sz w:val="20"/>
              </w:rPr>
              <w:t>Local 963 v</w:t>
            </w:r>
            <w:proofErr w:type="gramEnd"/>
            <w:r>
              <w:rPr>
                <w:rFonts w:ascii="Arial Narrow Italic" w:hAnsi="Arial Narrow Italic"/>
                <w:sz w:val="20"/>
              </w:rPr>
              <w:t xml:space="preserve">. New Brunswick Liquor Corp. </w:t>
            </w:r>
            <w:r>
              <w:rPr>
                <w:rFonts w:ascii="Arial Narrow" w:hAnsi="Arial Narrow"/>
                <w:sz w:val="20"/>
              </w:rPr>
              <w:t>– modern approach to substantive review – judicial restraint</w:t>
            </w:r>
          </w:p>
        </w:tc>
        <w:tc>
          <w:tcPr>
            <w:tcW w:w="510" w:type="dxa"/>
            <w:vAlign w:val="center"/>
          </w:tcPr>
          <w:p w14:paraId="26446E1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2A3FF01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3E9EDB9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30017F7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D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5A4386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8154AF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0C83AE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51C60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Dagenais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CBC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section 1 – proportionality </w:t>
            </w:r>
          </w:p>
        </w:tc>
        <w:tc>
          <w:tcPr>
            <w:tcW w:w="510" w:type="dxa"/>
            <w:vAlign w:val="center"/>
          </w:tcPr>
          <w:p w14:paraId="6C278D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445F065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4FA62B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BE858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Dagg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(Minister of Finance) </w:t>
            </w:r>
            <w:r>
              <w:rPr>
                <w:rFonts w:ascii="Arial Narrow" w:hAnsi="Arial Narrow"/>
                <w:sz w:val="20"/>
              </w:rPr>
              <w:t>– purpose of freedom of information legislation</w:t>
            </w:r>
          </w:p>
        </w:tc>
        <w:tc>
          <w:tcPr>
            <w:tcW w:w="510" w:type="dxa"/>
            <w:vAlign w:val="center"/>
          </w:tcPr>
          <w:p w14:paraId="5215BCA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26F30B0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8F8CE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A993D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Damages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context –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proving damages</w:t>
            </w:r>
          </w:p>
        </w:tc>
        <w:tc>
          <w:tcPr>
            <w:tcW w:w="510" w:type="dxa"/>
            <w:vAlign w:val="center"/>
          </w:tcPr>
          <w:p w14:paraId="18989F8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592</w:t>
            </w:r>
          </w:p>
        </w:tc>
        <w:tc>
          <w:tcPr>
            <w:tcW w:w="427" w:type="dxa"/>
            <w:vAlign w:val="center"/>
          </w:tcPr>
          <w:p w14:paraId="322BE4E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59437A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0A7BE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Declaration – JR – relief available – equitable</w:t>
            </w:r>
          </w:p>
        </w:tc>
        <w:tc>
          <w:tcPr>
            <w:tcW w:w="510" w:type="dxa"/>
            <w:vAlign w:val="center"/>
          </w:tcPr>
          <w:p w14:paraId="1940017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4784328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F00A4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27886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Declarations of invalidity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11A90B53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1D242733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0A315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AAD59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Declarations re: constitutionality – JR – </w:t>
            </w:r>
            <w:r>
              <w:rPr>
                <w:rFonts w:ascii="Arial Narrow Italic" w:hAnsi="Arial Narrow Italic"/>
                <w:sz w:val="20"/>
              </w:rPr>
              <w:t>Charter</w:t>
            </w:r>
          </w:p>
        </w:tc>
        <w:tc>
          <w:tcPr>
            <w:tcW w:w="510" w:type="dxa"/>
            <w:vAlign w:val="center"/>
          </w:tcPr>
          <w:p w14:paraId="02D1CD1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45B6ACA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BE1BC8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141A6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Delegated power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and division of powers limits</w:t>
            </w:r>
          </w:p>
        </w:tc>
        <w:tc>
          <w:tcPr>
            <w:tcW w:w="510" w:type="dxa"/>
            <w:vAlign w:val="center"/>
          </w:tcPr>
          <w:p w14:paraId="6445603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548921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895F60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0ACD8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common law limits</w:t>
            </w:r>
          </w:p>
        </w:tc>
        <w:tc>
          <w:tcPr>
            <w:tcW w:w="510" w:type="dxa"/>
            <w:vAlign w:val="center"/>
          </w:tcPr>
          <w:p w14:paraId="4F7B944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52F33DC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79507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0C324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control over exercise of</w:t>
            </w:r>
          </w:p>
        </w:tc>
        <w:tc>
          <w:tcPr>
            <w:tcW w:w="510" w:type="dxa"/>
            <w:vAlign w:val="center"/>
          </w:tcPr>
          <w:p w14:paraId="4AF094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0A807E4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C80F9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0FF96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errors of law limits</w:t>
            </w:r>
          </w:p>
        </w:tc>
        <w:tc>
          <w:tcPr>
            <w:tcW w:w="510" w:type="dxa"/>
            <w:vAlign w:val="center"/>
          </w:tcPr>
          <w:p w14:paraId="72DFFC7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15E4905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BD61CC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B018B2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exercise of – public law</w:t>
            </w:r>
          </w:p>
        </w:tc>
        <w:tc>
          <w:tcPr>
            <w:tcW w:w="510" w:type="dxa"/>
            <w:vAlign w:val="center"/>
          </w:tcPr>
          <w:p w14:paraId="054574D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4A07C8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11CFE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1A36E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jurisdictional limits – CL</w:t>
            </w:r>
          </w:p>
        </w:tc>
        <w:tc>
          <w:tcPr>
            <w:tcW w:w="510" w:type="dxa"/>
            <w:vAlign w:val="center"/>
          </w:tcPr>
          <w:p w14:paraId="18B8785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77ED34D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C10C3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61FE6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limits on – from Constitution and common law</w:t>
            </w:r>
          </w:p>
        </w:tc>
        <w:tc>
          <w:tcPr>
            <w:tcW w:w="510" w:type="dxa"/>
            <w:vAlign w:val="center"/>
          </w:tcPr>
          <w:p w14:paraId="2A6895D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0948772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0FAE3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2FA4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Delegated power – procedural limits and natural justice – CL and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40D52E3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4D5A019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F62457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F69ED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procedure vs. substantive standards</w:t>
            </w:r>
          </w:p>
        </w:tc>
        <w:tc>
          <w:tcPr>
            <w:tcW w:w="510" w:type="dxa"/>
            <w:vAlign w:val="center"/>
          </w:tcPr>
          <w:p w14:paraId="273747F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0ED07D4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CF296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0F9CB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questions regarding the source of decision-making power</w:t>
            </w:r>
          </w:p>
        </w:tc>
        <w:tc>
          <w:tcPr>
            <w:tcW w:w="510" w:type="dxa"/>
            <w:vAlign w:val="center"/>
          </w:tcPr>
          <w:p w14:paraId="79FB815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409D487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0AE695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76956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source of decision-making power</w:t>
            </w:r>
          </w:p>
        </w:tc>
        <w:tc>
          <w:tcPr>
            <w:tcW w:w="510" w:type="dxa"/>
            <w:vAlign w:val="center"/>
          </w:tcPr>
          <w:p w14:paraId="2D4F793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5CE9640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1ED03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0BBC1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statutory reconsideration or appeal</w:t>
            </w:r>
          </w:p>
        </w:tc>
        <w:tc>
          <w:tcPr>
            <w:tcW w:w="510" w:type="dxa"/>
            <w:vAlign w:val="center"/>
          </w:tcPr>
          <w:p w14:paraId="633BB2D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449E54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040B8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A9160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Delegated power – supervisory control of</w:t>
            </w:r>
          </w:p>
        </w:tc>
        <w:tc>
          <w:tcPr>
            <w:tcW w:w="510" w:type="dxa"/>
            <w:vAlign w:val="center"/>
          </w:tcPr>
          <w:p w14:paraId="1DBF1BE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479E557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F01284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FE67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Bold Italic" w:hAnsi="Arial Narrow Bold Italic"/>
                <w:sz w:val="20"/>
              </w:rPr>
              <w:t>Delgamuukw</w:t>
            </w:r>
            <w:proofErr w:type="spellEnd"/>
            <w:r>
              <w:rPr>
                <w:rFonts w:ascii="Arial Narrow Bold Italic" w:hAnsi="Arial Narrow Bold Italic"/>
                <w:sz w:val="20"/>
              </w:rPr>
              <w:t xml:space="preserve"> v. BC</w:t>
            </w:r>
            <w:r>
              <w:rPr>
                <w:rFonts w:ascii="Arial Narrow" w:hAnsi="Arial Narrow"/>
                <w:sz w:val="20"/>
              </w:rPr>
              <w:t xml:space="preserve"> – compensation for infringements of Aboriginal title</w:t>
            </w:r>
          </w:p>
        </w:tc>
        <w:tc>
          <w:tcPr>
            <w:tcW w:w="510" w:type="dxa"/>
            <w:vAlign w:val="center"/>
          </w:tcPr>
          <w:p w14:paraId="53DF952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369056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2889EA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72AF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Delgamuukw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BC</w:t>
            </w:r>
            <w:r>
              <w:rPr>
                <w:rFonts w:ascii="Arial Narrow" w:hAnsi="Arial Narrow"/>
                <w:sz w:val="20"/>
              </w:rPr>
              <w:t xml:space="preserve"> – definition and content of Aboriginal title</w:t>
            </w:r>
          </w:p>
        </w:tc>
        <w:tc>
          <w:tcPr>
            <w:tcW w:w="510" w:type="dxa"/>
            <w:vAlign w:val="center"/>
          </w:tcPr>
          <w:p w14:paraId="7CC23E3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2DAE4C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D52AB7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3B7B7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Democratic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3-5</w:t>
            </w:r>
          </w:p>
        </w:tc>
        <w:tc>
          <w:tcPr>
            <w:tcW w:w="510" w:type="dxa"/>
            <w:vAlign w:val="center"/>
          </w:tcPr>
          <w:p w14:paraId="3AFCFF7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6E153A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ED9A4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89F6B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" w:hAnsi="Arial Narrow"/>
                <w:sz w:val="20"/>
              </w:rPr>
              <w:t>Direct challenge – definition – constitutional procedure</w:t>
            </w:r>
          </w:p>
        </w:tc>
        <w:tc>
          <w:tcPr>
            <w:tcW w:w="510" w:type="dxa"/>
            <w:vAlign w:val="center"/>
          </w:tcPr>
          <w:p w14:paraId="12CA7A3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7CBF382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D782D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906F5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Division of powers – </w:t>
            </w:r>
            <w:r>
              <w:rPr>
                <w:rFonts w:ascii="Arial Narrow" w:hAnsi="Arial Narrow"/>
                <w:sz w:val="20"/>
              </w:rPr>
              <w:t>Aboriginal matters – federal power under s. 91(24)</w:t>
            </w:r>
          </w:p>
        </w:tc>
        <w:tc>
          <w:tcPr>
            <w:tcW w:w="510" w:type="dxa"/>
            <w:vAlign w:val="center"/>
          </w:tcPr>
          <w:p w14:paraId="560B862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325D5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6C0CD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7C2EB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administration of justice – provincial power under s. 92(14)</w:t>
            </w:r>
          </w:p>
        </w:tc>
        <w:tc>
          <w:tcPr>
            <w:tcW w:w="510" w:type="dxa"/>
            <w:vAlign w:val="center"/>
          </w:tcPr>
          <w:p w14:paraId="1519148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7E351DA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20EBE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DA96AB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aeronautics – federal power – POGG</w:t>
            </w:r>
          </w:p>
        </w:tc>
        <w:tc>
          <w:tcPr>
            <w:tcW w:w="510" w:type="dxa"/>
            <w:vAlign w:val="center"/>
          </w:tcPr>
          <w:p w14:paraId="276F07D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98C2FB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FDDEB7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A15C4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agriculture – concurrent authority under s. 95</w:t>
            </w:r>
          </w:p>
        </w:tc>
        <w:tc>
          <w:tcPr>
            <w:tcW w:w="510" w:type="dxa"/>
            <w:vAlign w:val="center"/>
          </w:tcPr>
          <w:p w14:paraId="2B5E94B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67B364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0A19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9E9AA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ancillary powers doctrine</w:t>
            </w:r>
          </w:p>
        </w:tc>
        <w:tc>
          <w:tcPr>
            <w:tcW w:w="510" w:type="dxa"/>
            <w:vAlign w:val="center"/>
          </w:tcPr>
          <w:p w14:paraId="22A0E16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10F2E36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807A5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887525" w14:textId="77777777" w:rsidR="00A72EAE" w:rsidRPr="00113492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ancillary powers doctrine – test – based on degree of intrusion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Kirkbi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Ritvik</w:t>
            </w:r>
            <w:proofErr w:type="spellEnd"/>
          </w:p>
        </w:tc>
        <w:tc>
          <w:tcPr>
            <w:tcW w:w="510" w:type="dxa"/>
            <w:vAlign w:val="center"/>
          </w:tcPr>
          <w:p w14:paraId="0D02B7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3C501A2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E47E55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5D6D1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banking – exclusive federal power under s. 91(15)</w:t>
            </w:r>
          </w:p>
        </w:tc>
        <w:tc>
          <w:tcPr>
            <w:tcW w:w="510" w:type="dxa"/>
            <w:vAlign w:val="center"/>
          </w:tcPr>
          <w:p w14:paraId="032ED75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3707B8C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31F5B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36E71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bankruptcy – exclusive federal power under s. 91(21)</w:t>
            </w:r>
          </w:p>
        </w:tc>
        <w:tc>
          <w:tcPr>
            <w:tcW w:w="510" w:type="dxa"/>
            <w:vAlign w:val="center"/>
          </w:tcPr>
          <w:p w14:paraId="404B5F8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269D7F0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4147F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11B8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competition – federal power – “general trade and commerce”</w:t>
            </w:r>
          </w:p>
        </w:tc>
        <w:tc>
          <w:tcPr>
            <w:tcW w:w="510" w:type="dxa"/>
            <w:vAlign w:val="center"/>
          </w:tcPr>
          <w:p w14:paraId="73CD448C" w14:textId="77777777" w:rsidR="00A72EAE" w:rsidRDefault="00A72EAE" w:rsidP="003A1EC4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4CBB09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FAD85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72F61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r>
              <w:rPr>
                <w:rFonts w:ascii="Arial Narrow Italic" w:hAnsi="Arial Narrow Italic"/>
                <w:sz w:val="20"/>
              </w:rPr>
              <w:t>Constitution Act, 1867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ss. 91-95</w:t>
            </w:r>
          </w:p>
        </w:tc>
        <w:tc>
          <w:tcPr>
            <w:tcW w:w="510" w:type="dxa"/>
            <w:vAlign w:val="center"/>
          </w:tcPr>
          <w:p w14:paraId="6958D4D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FEACE5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CBD2EC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4966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copyright – exclusive federal power under s. 91(23)</w:t>
            </w:r>
          </w:p>
        </w:tc>
        <w:tc>
          <w:tcPr>
            <w:tcW w:w="510" w:type="dxa"/>
            <w:vAlign w:val="center"/>
          </w:tcPr>
          <w:p w14:paraId="29F9BC5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CBAFE5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4A1BA0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B9091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core of jurisdiction – </w:t>
            </w:r>
            <w:r>
              <w:rPr>
                <w:rFonts w:ascii="Arial Narrow Italic" w:hAnsi="Arial Narrow Italic"/>
                <w:sz w:val="20"/>
              </w:rPr>
              <w:t>SEE “Division of powers – inter-jurisdictional immunity”</w:t>
            </w:r>
          </w:p>
        </w:tc>
        <w:tc>
          <w:tcPr>
            <w:tcW w:w="510" w:type="dxa"/>
            <w:vAlign w:val="center"/>
          </w:tcPr>
          <w:p w14:paraId="359DE3E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053C47F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50EFA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B6A7C9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</w:t>
            </w:r>
          </w:p>
        </w:tc>
        <w:tc>
          <w:tcPr>
            <w:tcW w:w="510" w:type="dxa"/>
            <w:vAlign w:val="center"/>
          </w:tcPr>
          <w:p w14:paraId="3F3A121B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31D575A5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6BB22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B1DB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 – federal power – BUT provincial offences under s. 92(15)</w:t>
            </w:r>
          </w:p>
        </w:tc>
        <w:tc>
          <w:tcPr>
            <w:tcW w:w="510" w:type="dxa"/>
            <w:vAlign w:val="center"/>
          </w:tcPr>
          <w:p w14:paraId="643D2A1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9838CB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0F24EC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1BDBD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 – federal power under s. 91(27)</w:t>
            </w:r>
          </w:p>
        </w:tc>
        <w:tc>
          <w:tcPr>
            <w:tcW w:w="510" w:type="dxa"/>
            <w:vAlign w:val="center"/>
          </w:tcPr>
          <w:p w14:paraId="2BCC99D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337DBA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0156B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C4786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law – prohibition backed by a penalty</w:t>
            </w:r>
          </w:p>
        </w:tc>
        <w:tc>
          <w:tcPr>
            <w:tcW w:w="510" w:type="dxa"/>
            <w:vAlign w:val="center"/>
          </w:tcPr>
          <w:p w14:paraId="7E4C51CC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50EAF066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B4B0F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C8C27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criminal law – valid criminal law purpose – </w:t>
            </w:r>
            <w:r>
              <w:rPr>
                <w:rFonts w:ascii="Arial Narrow Italic" w:hAnsi="Arial Narrow Italic"/>
                <w:sz w:val="20"/>
              </w:rPr>
              <w:t>Margarine Reference</w:t>
            </w:r>
          </w:p>
        </w:tc>
        <w:tc>
          <w:tcPr>
            <w:tcW w:w="510" w:type="dxa"/>
            <w:vAlign w:val="center"/>
          </w:tcPr>
          <w:p w14:paraId="20D85FD0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7E08495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D088C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A5985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criminal procedure – exclusive federal power</w:t>
            </w:r>
          </w:p>
        </w:tc>
        <w:tc>
          <w:tcPr>
            <w:tcW w:w="510" w:type="dxa"/>
            <w:vAlign w:val="center"/>
          </w:tcPr>
          <w:p w14:paraId="20D1634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BDA33F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BA43A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F4C26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double aspect</w:t>
            </w:r>
          </w:p>
        </w:tc>
        <w:tc>
          <w:tcPr>
            <w:tcW w:w="510" w:type="dxa"/>
            <w:vAlign w:val="center"/>
          </w:tcPr>
          <w:p w14:paraId="27D3B3C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7FA4AD9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035D6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68B0A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education – Catholic school funding in – required under </w:t>
            </w:r>
            <w:r>
              <w:rPr>
                <w:rFonts w:ascii="Arial Narrow Italic" w:hAnsi="Arial Narrow Italic"/>
                <w:sz w:val="20"/>
              </w:rPr>
              <w:t>Constitution Act, 1867</w:t>
            </w:r>
          </w:p>
        </w:tc>
        <w:tc>
          <w:tcPr>
            <w:tcW w:w="510" w:type="dxa"/>
            <w:vAlign w:val="center"/>
          </w:tcPr>
          <w:p w14:paraId="494E1C5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54A1DA0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767A1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6AEB5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education – provincial power under s. 93</w:t>
            </w:r>
          </w:p>
        </w:tc>
        <w:tc>
          <w:tcPr>
            <w:tcW w:w="510" w:type="dxa"/>
            <w:vAlign w:val="center"/>
          </w:tcPr>
          <w:p w14:paraId="7CD3384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4E21F2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CA510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A1FC4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federal powers</w:t>
            </w:r>
          </w:p>
        </w:tc>
        <w:tc>
          <w:tcPr>
            <w:tcW w:w="510" w:type="dxa"/>
            <w:vAlign w:val="center"/>
          </w:tcPr>
          <w:p w14:paraId="3A57019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6E4A54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C478C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71F13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general</w:t>
            </w:r>
          </w:p>
        </w:tc>
        <w:tc>
          <w:tcPr>
            <w:tcW w:w="510" w:type="dxa"/>
            <w:vAlign w:val="center"/>
          </w:tcPr>
          <w:p w14:paraId="253FA99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165AD5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33ECAA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5990A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health – federal payments </w:t>
            </w:r>
            <w:r>
              <w:rPr>
                <w:rFonts w:ascii="Arial Narrow" w:hAnsi="Arial Narrow"/>
                <w:sz w:val="20"/>
              </w:rPr>
              <w:lastRenderedPageBreak/>
              <w:t xml:space="preserve">under </w:t>
            </w:r>
            <w:r>
              <w:rPr>
                <w:rFonts w:ascii="Arial Narrow Italic" w:hAnsi="Arial Narrow Italic"/>
                <w:sz w:val="20"/>
              </w:rPr>
              <w:t>Canada Health Act</w:t>
            </w:r>
          </w:p>
        </w:tc>
        <w:tc>
          <w:tcPr>
            <w:tcW w:w="510" w:type="dxa"/>
            <w:vAlign w:val="center"/>
          </w:tcPr>
          <w:p w14:paraId="001033C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577</w:t>
            </w:r>
          </w:p>
        </w:tc>
        <w:tc>
          <w:tcPr>
            <w:tcW w:w="427" w:type="dxa"/>
            <w:vAlign w:val="center"/>
          </w:tcPr>
          <w:p w14:paraId="089E7D6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239F9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F0C95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Division of powers – health – provincial power (mostly)</w:t>
            </w:r>
          </w:p>
        </w:tc>
        <w:tc>
          <w:tcPr>
            <w:tcW w:w="510" w:type="dxa"/>
            <w:vAlign w:val="center"/>
          </w:tcPr>
          <w:p w14:paraId="6269EFF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527C84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3C3A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32AEF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incidental effect – will not doom an otherwise constitutional law</w:t>
            </w:r>
          </w:p>
        </w:tc>
        <w:tc>
          <w:tcPr>
            <w:tcW w:w="510" w:type="dxa"/>
            <w:vAlign w:val="center"/>
          </w:tcPr>
          <w:p w14:paraId="346EBE8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17900C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C6CA2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A1174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incorporation of federal companies – federal power – POGG</w:t>
            </w:r>
          </w:p>
        </w:tc>
        <w:tc>
          <w:tcPr>
            <w:tcW w:w="510" w:type="dxa"/>
            <w:vAlign w:val="center"/>
          </w:tcPr>
          <w:p w14:paraId="28082B1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5C69A85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CE49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972AA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Indians and lands reserved for the Indians – federal power under s. 91(24)</w:t>
            </w:r>
          </w:p>
        </w:tc>
        <w:tc>
          <w:tcPr>
            <w:tcW w:w="510" w:type="dxa"/>
            <w:vAlign w:val="center"/>
          </w:tcPr>
          <w:p w14:paraId="184C6EB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4740036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08EAD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F0165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Division of powers – inter-jurisdictional immunity</w:t>
            </w:r>
          </w:p>
        </w:tc>
        <w:tc>
          <w:tcPr>
            <w:tcW w:w="510" w:type="dxa"/>
            <w:vAlign w:val="center"/>
          </w:tcPr>
          <w:p w14:paraId="2E965F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59CE0B2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24672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ADD0F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“narrow” doctrine, apply with restraint</w:t>
            </w:r>
          </w:p>
        </w:tc>
        <w:tc>
          <w:tcPr>
            <w:tcW w:w="510" w:type="dxa"/>
            <w:vAlign w:val="center"/>
          </w:tcPr>
          <w:p w14:paraId="0336382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5214C7E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52FD3E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A225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asymmetry in practice</w:t>
            </w:r>
          </w:p>
        </w:tc>
        <w:tc>
          <w:tcPr>
            <w:tcW w:w="510" w:type="dxa"/>
            <w:vAlign w:val="center"/>
          </w:tcPr>
          <w:p w14:paraId="5E94231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7413584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D13880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E1DCE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inter-jurisdictional immunity – example re: provincial </w:t>
            </w:r>
            <w:proofErr w:type="spellStart"/>
            <w:r>
              <w:rPr>
                <w:rFonts w:ascii="Arial Narrow" w:hAnsi="Arial Narrow"/>
                <w:sz w:val="20"/>
              </w:rPr>
              <w:t>labour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laws</w:t>
            </w:r>
          </w:p>
        </w:tc>
        <w:tc>
          <w:tcPr>
            <w:tcW w:w="510" w:type="dxa"/>
            <w:vAlign w:val="center"/>
          </w:tcPr>
          <w:p w14:paraId="11E541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231EBBB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D945A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55A79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examples</w:t>
            </w:r>
          </w:p>
        </w:tc>
        <w:tc>
          <w:tcPr>
            <w:tcW w:w="510" w:type="dxa"/>
            <w:vAlign w:val="center"/>
          </w:tcPr>
          <w:p w14:paraId="6E0B373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3F52911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7FBFAC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4F578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importance of precedent</w:t>
            </w:r>
          </w:p>
        </w:tc>
        <w:tc>
          <w:tcPr>
            <w:tcW w:w="510" w:type="dxa"/>
            <w:vAlign w:val="center"/>
          </w:tcPr>
          <w:p w14:paraId="41DD8F5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6BD1BAE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BE9629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D0431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protects a “core” of jurisdiction</w:t>
            </w:r>
          </w:p>
        </w:tc>
        <w:tc>
          <w:tcPr>
            <w:tcW w:w="510" w:type="dxa"/>
            <w:vAlign w:val="center"/>
          </w:tcPr>
          <w:p w14:paraId="78AA95E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4346BDB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75794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76E79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inter-jurisdictional immunity – provincial law would “impair” federal competence</w:t>
            </w:r>
          </w:p>
        </w:tc>
        <w:tc>
          <w:tcPr>
            <w:tcW w:w="510" w:type="dxa"/>
            <w:vAlign w:val="center"/>
          </w:tcPr>
          <w:p w14:paraId="539E2A1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75C1D00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8615C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DBB21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international treaties – federal power – POGG</w:t>
            </w:r>
          </w:p>
        </w:tc>
        <w:tc>
          <w:tcPr>
            <w:tcW w:w="510" w:type="dxa"/>
            <w:vAlign w:val="center"/>
          </w:tcPr>
          <w:p w14:paraId="384C54A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3596AC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6BD9FC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1D2A4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interprovincial and int’l transport and communication – federal power</w:t>
            </w:r>
          </w:p>
        </w:tc>
        <w:tc>
          <w:tcPr>
            <w:tcW w:w="510" w:type="dxa"/>
            <w:vAlign w:val="center"/>
          </w:tcPr>
          <w:p w14:paraId="5BEB47E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C320A2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07B387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A7E5D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JR on federalism grounds – general</w:t>
            </w:r>
          </w:p>
        </w:tc>
        <w:tc>
          <w:tcPr>
            <w:tcW w:w="510" w:type="dxa"/>
            <w:vAlign w:val="center"/>
          </w:tcPr>
          <w:p w14:paraId="1B28702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79641B6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5F5BF6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314FF1" w14:textId="77777777" w:rsidR="00A72EAE" w:rsidRPr="00FA73E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limiting admin law power – </w:t>
            </w:r>
            <w:r>
              <w:rPr>
                <w:rFonts w:ascii="Arial Narrow" w:hAnsi="Arial Narrow"/>
                <w:i/>
                <w:sz w:val="20"/>
              </w:rPr>
              <w:t xml:space="preserve">Canada Mortgage and Housing Corp. vs.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Iness</w:t>
            </w:r>
            <w:proofErr w:type="spellEnd"/>
          </w:p>
        </w:tc>
        <w:tc>
          <w:tcPr>
            <w:tcW w:w="510" w:type="dxa"/>
            <w:vAlign w:val="center"/>
          </w:tcPr>
          <w:p w14:paraId="18D4CB4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3687773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9926FD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BC389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marine pollution – federal power – POGG</w:t>
            </w:r>
          </w:p>
        </w:tc>
        <w:tc>
          <w:tcPr>
            <w:tcW w:w="510" w:type="dxa"/>
            <w:vAlign w:val="center"/>
          </w:tcPr>
          <w:p w14:paraId="32D2F95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2B3DF8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A07BB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D88CD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municipalities – power delegated from provinces</w:t>
            </w:r>
          </w:p>
        </w:tc>
        <w:tc>
          <w:tcPr>
            <w:tcW w:w="510" w:type="dxa"/>
            <w:vAlign w:val="center"/>
          </w:tcPr>
          <w:p w14:paraId="1BA05E9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72588C3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5540D0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B2D21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municipalities – provincial power under s. 92(8)</w:t>
            </w:r>
          </w:p>
        </w:tc>
        <w:tc>
          <w:tcPr>
            <w:tcW w:w="510" w:type="dxa"/>
            <w:vAlign w:val="center"/>
          </w:tcPr>
          <w:p w14:paraId="583262D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2007C66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C40295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849FA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national concern – POGG – </w:t>
            </w:r>
            <w:r>
              <w:rPr>
                <w:rFonts w:ascii="Arial Narrow Italic" w:hAnsi="Arial Narrow Italic"/>
                <w:sz w:val="20"/>
              </w:rPr>
              <w:t xml:space="preserve">Crown </w:t>
            </w:r>
            <w:proofErr w:type="spellStart"/>
            <w:r>
              <w:rPr>
                <w:rFonts w:ascii="Arial Narrow Italic" w:hAnsi="Arial Narrow Italic"/>
                <w:sz w:val="20"/>
              </w:rPr>
              <w:t>Zellerbach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(R. v.)</w:t>
            </w:r>
          </w:p>
        </w:tc>
        <w:tc>
          <w:tcPr>
            <w:tcW w:w="510" w:type="dxa"/>
            <w:vAlign w:val="center"/>
          </w:tcPr>
          <w:p w14:paraId="4EEEC3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8D8B2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3887BE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7E392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national emergency – POGG</w:t>
            </w:r>
          </w:p>
        </w:tc>
        <w:tc>
          <w:tcPr>
            <w:tcW w:w="510" w:type="dxa"/>
            <w:vAlign w:val="center"/>
          </w:tcPr>
          <w:p w14:paraId="2964866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108619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9994AD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06025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nuclear energy – federal power – POGG</w:t>
            </w:r>
          </w:p>
        </w:tc>
        <w:tc>
          <w:tcPr>
            <w:tcW w:w="510" w:type="dxa"/>
            <w:vAlign w:val="center"/>
          </w:tcPr>
          <w:p w14:paraId="4F94B10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16572E5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1A4F0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D923B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“impossibility of dual compliance”</w:t>
            </w:r>
          </w:p>
        </w:tc>
        <w:tc>
          <w:tcPr>
            <w:tcW w:w="510" w:type="dxa"/>
            <w:vAlign w:val="center"/>
          </w:tcPr>
          <w:p w14:paraId="3D3D4A1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734FA6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314D33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B292B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frustrating Parliament’s objective</w:t>
            </w:r>
          </w:p>
        </w:tc>
        <w:tc>
          <w:tcPr>
            <w:tcW w:w="510" w:type="dxa"/>
            <w:vAlign w:val="center"/>
          </w:tcPr>
          <w:p w14:paraId="40B2425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11A85D6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F988C0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F712A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 xml:space="preserve">Law Society of BC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Mangat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respecting provincial law would frustrate Parliament’s objective</w:t>
            </w:r>
          </w:p>
        </w:tc>
        <w:tc>
          <w:tcPr>
            <w:tcW w:w="510" w:type="dxa"/>
            <w:vAlign w:val="center"/>
          </w:tcPr>
          <w:p w14:paraId="3192B92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64D5F80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5119D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414CA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point-in-time doctrine</w:t>
            </w:r>
          </w:p>
        </w:tc>
        <w:tc>
          <w:tcPr>
            <w:tcW w:w="510" w:type="dxa"/>
            <w:vAlign w:val="center"/>
          </w:tcPr>
          <w:p w14:paraId="56256C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74C6AE1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B81F0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D89A9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patents – exclusive federal power under s. 91(22)</w:t>
            </w:r>
          </w:p>
        </w:tc>
        <w:tc>
          <w:tcPr>
            <w:tcW w:w="510" w:type="dxa"/>
            <w:vAlign w:val="center"/>
          </w:tcPr>
          <w:p w14:paraId="03AEF3F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9D2EA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52A0CC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FEB46C" w14:textId="77777777" w:rsidR="00A72EAE" w:rsidRPr="00210A7D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i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Division of powers – pith and substance – </w:t>
            </w:r>
            <w:proofErr w:type="spellStart"/>
            <w:r>
              <w:rPr>
                <w:rFonts w:ascii="Arial Narrow Bold" w:hAnsi="Arial Narrow Bold"/>
                <w:i/>
                <w:sz w:val="20"/>
              </w:rPr>
              <w:t>Chaterjee</w:t>
            </w:r>
            <w:proofErr w:type="spellEnd"/>
            <w:r>
              <w:rPr>
                <w:rFonts w:ascii="Arial Narrow Bold" w:hAnsi="Arial Narrow Bold"/>
                <w:i/>
                <w:sz w:val="20"/>
              </w:rPr>
              <w:t xml:space="preserve"> v. Ontario</w:t>
            </w:r>
          </w:p>
        </w:tc>
        <w:tc>
          <w:tcPr>
            <w:tcW w:w="510" w:type="dxa"/>
            <w:vAlign w:val="center"/>
          </w:tcPr>
          <w:p w14:paraId="205C5A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120B43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B52B8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39D2E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pith and substance – double aspect</w:t>
            </w:r>
          </w:p>
        </w:tc>
        <w:tc>
          <w:tcPr>
            <w:tcW w:w="510" w:type="dxa"/>
            <w:vAlign w:val="center"/>
          </w:tcPr>
          <w:p w14:paraId="4A5C341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4E4655B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2189A0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8E24F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pith and substance – incidental effect</w:t>
            </w:r>
          </w:p>
        </w:tc>
        <w:tc>
          <w:tcPr>
            <w:tcW w:w="510" w:type="dxa"/>
            <w:vAlign w:val="center"/>
          </w:tcPr>
          <w:p w14:paraId="7B2CAD6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7C0475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FE083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D8EB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POGG – federal power under s. 91</w:t>
            </w:r>
          </w:p>
        </w:tc>
        <w:tc>
          <w:tcPr>
            <w:tcW w:w="510" w:type="dxa"/>
            <w:vAlign w:val="center"/>
          </w:tcPr>
          <w:p w14:paraId="60BC92F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3D5F663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A993F0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1433B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POGG (peace, order, and good government)</w:t>
            </w:r>
          </w:p>
        </w:tc>
        <w:tc>
          <w:tcPr>
            <w:tcW w:w="510" w:type="dxa"/>
            <w:vAlign w:val="center"/>
          </w:tcPr>
          <w:p w14:paraId="2911482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1708E0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ABDF26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14CA8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policing – provincial power</w:t>
            </w:r>
          </w:p>
        </w:tc>
        <w:tc>
          <w:tcPr>
            <w:tcW w:w="510" w:type="dxa"/>
            <w:vAlign w:val="center"/>
          </w:tcPr>
          <w:p w14:paraId="5CAACA6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F249D9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7DB308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09701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provincial offences under s. 92(15)</w:t>
            </w:r>
          </w:p>
        </w:tc>
        <w:tc>
          <w:tcPr>
            <w:tcW w:w="510" w:type="dxa"/>
            <w:vAlign w:val="center"/>
          </w:tcPr>
          <w:p w14:paraId="391E53A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5B7B64E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E3B3D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E1D53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provincial powers</w:t>
            </w:r>
          </w:p>
        </w:tc>
        <w:tc>
          <w:tcPr>
            <w:tcW w:w="510" w:type="dxa"/>
            <w:vAlign w:val="center"/>
          </w:tcPr>
          <w:p w14:paraId="58BD192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97A271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F15EF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AE94C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securities regulation – NOT federal power – </w:t>
            </w:r>
            <w:r>
              <w:rPr>
                <w:rFonts w:ascii="Arial Narrow Italic" w:hAnsi="Arial Narrow Italic"/>
                <w:sz w:val="20"/>
              </w:rPr>
              <w:t>Reference re Securities Act</w:t>
            </w:r>
          </w:p>
        </w:tc>
        <w:tc>
          <w:tcPr>
            <w:tcW w:w="510" w:type="dxa"/>
            <w:vAlign w:val="center"/>
          </w:tcPr>
          <w:p w14:paraId="718E1DE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741F47E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3C9C3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952DC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shared or concurrent authority</w:t>
            </w:r>
          </w:p>
        </w:tc>
        <w:tc>
          <w:tcPr>
            <w:tcW w:w="510" w:type="dxa"/>
            <w:vAlign w:val="center"/>
          </w:tcPr>
          <w:p w14:paraId="7109EE8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250FA21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A2879E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61480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superior court judges, appointment and salaries – exclusive federal power</w:t>
            </w:r>
          </w:p>
        </w:tc>
        <w:tc>
          <w:tcPr>
            <w:tcW w:w="510" w:type="dxa"/>
            <w:vAlign w:val="center"/>
          </w:tcPr>
          <w:p w14:paraId="05151C0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5E0BFB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83BAB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DA186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trade and commerce – “general trade and commerce” – five indicia – </w:t>
            </w:r>
            <w:r>
              <w:rPr>
                <w:rFonts w:ascii="Arial Narrow Italic" w:hAnsi="Arial Narrow Italic"/>
                <w:sz w:val="20"/>
              </w:rPr>
              <w:t>General Motors v. City National Leasing</w:t>
            </w:r>
          </w:p>
        </w:tc>
        <w:tc>
          <w:tcPr>
            <w:tcW w:w="510" w:type="dxa"/>
            <w:vAlign w:val="center"/>
          </w:tcPr>
          <w:p w14:paraId="22E797D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9B9CEB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59E7E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3F897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trade and commerce – federal power under s. 91(2)</w:t>
            </w:r>
          </w:p>
        </w:tc>
        <w:tc>
          <w:tcPr>
            <w:tcW w:w="510" w:type="dxa"/>
            <w:vAlign w:val="center"/>
          </w:tcPr>
          <w:p w14:paraId="1488DF4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1E9E90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9ED4B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5A5D4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trademarks – federal power – “general trade and commerce”</w:t>
            </w:r>
          </w:p>
        </w:tc>
        <w:tc>
          <w:tcPr>
            <w:tcW w:w="510" w:type="dxa"/>
            <w:vAlign w:val="center"/>
          </w:tcPr>
          <w:p w14:paraId="01B884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EC2957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30CAC4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6CD69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Division of powers – transport and communication – interprovincial and int’l – federal power</w:t>
            </w:r>
          </w:p>
        </w:tc>
        <w:tc>
          <w:tcPr>
            <w:tcW w:w="510" w:type="dxa"/>
            <w:vAlign w:val="center"/>
          </w:tcPr>
          <w:p w14:paraId="5D71B18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DB565B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82AEAC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39BE2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 of powers – </w:t>
            </w:r>
            <w:r>
              <w:rPr>
                <w:rFonts w:ascii="Arial Narrow Italic" w:hAnsi="Arial Narrow Italic"/>
                <w:sz w:val="20"/>
              </w:rPr>
              <w:t xml:space="preserve">ultra vires </w:t>
            </w:r>
            <w:r>
              <w:rPr>
                <w:rFonts w:ascii="Arial Narrow" w:hAnsi="Arial Narrow"/>
                <w:sz w:val="20"/>
              </w:rPr>
              <w:t xml:space="preserve">and </w:t>
            </w:r>
            <w:r>
              <w:rPr>
                <w:rFonts w:ascii="Arial Narrow Italic" w:hAnsi="Arial Narrow Italic"/>
                <w:sz w:val="20"/>
              </w:rPr>
              <w:t xml:space="preserve">intra vires </w:t>
            </w:r>
            <w:r>
              <w:rPr>
                <w:rFonts w:ascii="Arial Narrow" w:hAnsi="Arial Narrow"/>
                <w:sz w:val="20"/>
              </w:rPr>
              <w:t>legislation</w:t>
            </w:r>
          </w:p>
        </w:tc>
        <w:tc>
          <w:tcPr>
            <w:tcW w:w="510" w:type="dxa"/>
            <w:vAlign w:val="center"/>
          </w:tcPr>
          <w:p w14:paraId="5A40343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6C1FB9E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F1C50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7D4EF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Divisional Court (ON) – constitutional matters – </w:t>
            </w:r>
            <w:r>
              <w:rPr>
                <w:rFonts w:ascii="Arial Narrow Italic" w:hAnsi="Arial Narrow Italic"/>
                <w:sz w:val="20"/>
              </w:rPr>
              <w:t xml:space="preserve">SEE “Constitutional procedure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Div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Court”</w:t>
            </w:r>
          </w:p>
        </w:tc>
        <w:tc>
          <w:tcPr>
            <w:tcW w:w="510" w:type="dxa"/>
            <w:vAlign w:val="center"/>
          </w:tcPr>
          <w:p w14:paraId="7F4B844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F1E0E6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BD8EF3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5597B4" w14:textId="77777777" w:rsidR="00A72EAE" w:rsidRPr="00312D6C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Doré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Barreau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du Québec </w:t>
            </w:r>
            <w:r>
              <w:rPr>
                <w:rFonts w:ascii="Arial Narrow" w:hAnsi="Arial Narrow"/>
                <w:sz w:val="20"/>
              </w:rPr>
              <w:t xml:space="preserve">– admin law power limited by </w:t>
            </w:r>
            <w:r>
              <w:rPr>
                <w:rFonts w:ascii="Arial Narrow" w:hAnsi="Arial Narrow"/>
                <w:i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– DM balancing mandate with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reasonableness</w:t>
            </w:r>
          </w:p>
        </w:tc>
        <w:tc>
          <w:tcPr>
            <w:tcW w:w="510" w:type="dxa"/>
            <w:vAlign w:val="center"/>
          </w:tcPr>
          <w:p w14:paraId="0AA9A13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2899B59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48161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5E377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Doucet</w:t>
            </w:r>
            <w:proofErr w:type="spellEnd"/>
            <w:r>
              <w:rPr>
                <w:rFonts w:ascii="Arial Narrow" w:hAnsi="Arial Narrow"/>
                <w:sz w:val="20"/>
              </w:rPr>
              <w:t>-Boudreau v Nova Scotia – Structural Injunctions – Charter s 24</w:t>
            </w:r>
          </w:p>
        </w:tc>
        <w:tc>
          <w:tcPr>
            <w:tcW w:w="510" w:type="dxa"/>
            <w:vAlign w:val="center"/>
          </w:tcPr>
          <w:p w14:paraId="0582E7A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9FE1BE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7BF42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7824A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Doucet</w:t>
            </w:r>
            <w:proofErr w:type="spellEnd"/>
            <w:r>
              <w:rPr>
                <w:rFonts w:ascii="Arial Narrow Italic" w:hAnsi="Arial Narrow Italic"/>
                <w:sz w:val="20"/>
              </w:rPr>
              <w:t>-Boudreau v. Nova Scotia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structural injunction</w:t>
            </w:r>
          </w:p>
        </w:tc>
        <w:tc>
          <w:tcPr>
            <w:tcW w:w="510" w:type="dxa"/>
            <w:vAlign w:val="center"/>
          </w:tcPr>
          <w:p w14:paraId="7621EEB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0ECF74C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E39ED4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78EDA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 xml:space="preserve">Dunsmuir v. New Brunswick </w:t>
            </w:r>
            <w:r>
              <w:rPr>
                <w:rFonts w:ascii="Arial Narrow" w:hAnsi="Arial Narrow"/>
                <w:sz w:val="20"/>
              </w:rPr>
              <w:t>– JR – SCC introduced new test for standard of review</w:t>
            </w:r>
          </w:p>
        </w:tc>
        <w:tc>
          <w:tcPr>
            <w:tcW w:w="510" w:type="dxa"/>
            <w:vAlign w:val="center"/>
          </w:tcPr>
          <w:p w14:paraId="2D42C79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75EE9E4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6BC7EF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5038D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Dunsmuir v. New Brunswick</w:t>
            </w:r>
            <w:r>
              <w:rPr>
                <w:rFonts w:ascii="Arial Narrow" w:hAnsi="Arial Narrow"/>
                <w:sz w:val="20"/>
              </w:rPr>
              <w:t xml:space="preserve"> – JR – standard of review – two standards</w:t>
            </w:r>
          </w:p>
        </w:tc>
        <w:tc>
          <w:tcPr>
            <w:tcW w:w="510" w:type="dxa"/>
            <w:vAlign w:val="center"/>
          </w:tcPr>
          <w:p w14:paraId="73A0B87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77D08CF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E4BFA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600CE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Duty to consult – Aboriginal rights – boards and tribunals – </w:t>
            </w:r>
            <w:r>
              <w:rPr>
                <w:rFonts w:ascii="Arial Narrow Italic" w:hAnsi="Arial Narrow Italic"/>
                <w:sz w:val="20"/>
              </w:rPr>
              <w:t xml:space="preserve">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77DC73E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5F5656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EFB37A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DA4F9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Duty to consult – Aboriginal rights – Crown policies – don’t necessarily meet legal requirements</w:t>
            </w:r>
          </w:p>
        </w:tc>
        <w:tc>
          <w:tcPr>
            <w:tcW w:w="510" w:type="dxa"/>
            <w:vAlign w:val="center"/>
          </w:tcPr>
          <w:p w14:paraId="392B7B8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542E4AD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CFD2F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922DE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Duty to consult – Aboriginal rights – </w:t>
            </w:r>
            <w:r>
              <w:rPr>
                <w:rFonts w:ascii="Arial Narrow Italic" w:hAnsi="Arial Narrow Italic"/>
                <w:sz w:val="20"/>
              </w:rPr>
              <w:t>SEE also “Aboriginal rights – duty to consult”</w:t>
            </w:r>
          </w:p>
        </w:tc>
        <w:tc>
          <w:tcPr>
            <w:tcW w:w="510" w:type="dxa"/>
            <w:vAlign w:val="center"/>
          </w:tcPr>
          <w:p w14:paraId="40F7A78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77E37B4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D6BF05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0D8FF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Duty to consult – Aboriginal rights – to community, not individual – </w:t>
            </w: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</w:t>
            </w:r>
          </w:p>
        </w:tc>
        <w:tc>
          <w:tcPr>
            <w:tcW w:w="510" w:type="dxa"/>
            <w:vAlign w:val="center"/>
          </w:tcPr>
          <w:p w14:paraId="4B57F61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8883BD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C7344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EFCF2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Duty to consult – Aboriginal rights – when duty arises – three conditions –</w:t>
            </w:r>
            <w:r>
              <w:rPr>
                <w:rFonts w:ascii="Arial Narrow Italic" w:hAnsi="Arial Narrow Italic"/>
                <w:sz w:val="20"/>
              </w:rPr>
              <w:t xml:space="preserve">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</w:p>
        </w:tc>
        <w:tc>
          <w:tcPr>
            <w:tcW w:w="510" w:type="dxa"/>
            <w:vAlign w:val="center"/>
          </w:tcPr>
          <w:p w14:paraId="6AEC23E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02A28F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6A901D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D08A39E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E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F79A42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89BA8D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1AC3F67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B7943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Eaton v. Brant County</w:t>
            </w:r>
            <w:r>
              <w:rPr>
                <w:rFonts w:ascii="Arial Narrow" w:hAnsi="Arial Narrow"/>
                <w:sz w:val="20"/>
              </w:rPr>
              <w:t xml:space="preserve"> – failure to give notice of constitutional question – constitutional procedure</w:t>
            </w:r>
          </w:p>
        </w:tc>
        <w:tc>
          <w:tcPr>
            <w:tcW w:w="510" w:type="dxa"/>
            <w:vAlign w:val="center"/>
          </w:tcPr>
          <w:p w14:paraId="39BE651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5838EC0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A941A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D28A2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Education – provincial power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2A0B7F2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16197B1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5B600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CCE8A6" w14:textId="77777777" w:rsidR="00A72EAE" w:rsidRPr="00165CE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Edwards Books and Art Ltd. (R. v.)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section 1 justification</w:t>
            </w:r>
          </w:p>
        </w:tc>
        <w:tc>
          <w:tcPr>
            <w:tcW w:w="510" w:type="dxa"/>
            <w:vAlign w:val="center"/>
          </w:tcPr>
          <w:p w14:paraId="2606015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4F6D788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37C0C2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2FBC1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Eldridge v. BC – Charter </w:t>
            </w:r>
            <w:r>
              <w:rPr>
                <w:rFonts w:ascii="Arial Narrow" w:hAnsi="Arial Narrow"/>
                <w:sz w:val="20"/>
              </w:rPr>
              <w:t>application – activity that is “governmental” in nature</w:t>
            </w:r>
          </w:p>
        </w:tc>
        <w:tc>
          <w:tcPr>
            <w:tcW w:w="510" w:type="dxa"/>
            <w:vAlign w:val="center"/>
          </w:tcPr>
          <w:p w14:paraId="1C4FB0D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8403D4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2E677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EB574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Electronic hearings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5.2</w:t>
            </w:r>
          </w:p>
        </w:tc>
        <w:tc>
          <w:tcPr>
            <w:tcW w:w="510" w:type="dxa"/>
            <w:vAlign w:val="center"/>
          </w:tcPr>
          <w:p w14:paraId="178075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36388F8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36D90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945335" w14:textId="77777777" w:rsidR="00A72EAE" w:rsidRPr="004F50E6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Ellis-Don Ltd. v. Ontario (</w:t>
            </w:r>
            <w:proofErr w:type="spellStart"/>
            <w:r>
              <w:rPr>
                <w:rFonts w:ascii="Arial Narrow Italic" w:hAnsi="Arial Narrow Italic"/>
                <w:sz w:val="20"/>
              </w:rPr>
              <w:t>Labour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Relations Board) </w:t>
            </w:r>
            <w:r>
              <w:rPr>
                <w:rFonts w:ascii="Arial Narrow" w:hAnsi="Arial Narrow"/>
                <w:sz w:val="20"/>
              </w:rPr>
              <w:t>– institutional bias – internal consultation – factors</w:t>
            </w:r>
          </w:p>
        </w:tc>
        <w:tc>
          <w:tcPr>
            <w:tcW w:w="510" w:type="dxa"/>
            <w:vAlign w:val="center"/>
          </w:tcPr>
          <w:p w14:paraId="2B48FF5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2A791D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A77080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D4829F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Error of law – definition </w:t>
            </w:r>
          </w:p>
        </w:tc>
        <w:tc>
          <w:tcPr>
            <w:tcW w:w="510" w:type="dxa"/>
            <w:vAlign w:val="center"/>
          </w:tcPr>
          <w:p w14:paraId="747E849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34B1F7A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BCC0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7AE0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Errors of admin law permitting judicial intervention</w:t>
            </w:r>
          </w:p>
        </w:tc>
        <w:tc>
          <w:tcPr>
            <w:tcW w:w="510" w:type="dxa"/>
            <w:vAlign w:val="center"/>
          </w:tcPr>
          <w:p w14:paraId="0C0891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3FC77AB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180EC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23D4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Evidence – admin tribunals – relaxed threshold for admission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15</w:t>
            </w:r>
          </w:p>
        </w:tc>
        <w:tc>
          <w:tcPr>
            <w:tcW w:w="510" w:type="dxa"/>
            <w:vAlign w:val="center"/>
          </w:tcPr>
          <w:p w14:paraId="3FAAB79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135225C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21AEC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F66D7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Evidence – exclusion of – remedy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24(2)</w:t>
            </w:r>
          </w:p>
        </w:tc>
        <w:tc>
          <w:tcPr>
            <w:tcW w:w="510" w:type="dxa"/>
            <w:vAlign w:val="center"/>
          </w:tcPr>
          <w:p w14:paraId="5DD13A4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3EB49DE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A61C5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F889C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Evidence – JR – admissibility</w:t>
            </w:r>
          </w:p>
        </w:tc>
        <w:tc>
          <w:tcPr>
            <w:tcW w:w="510" w:type="dxa"/>
            <w:vAlign w:val="center"/>
          </w:tcPr>
          <w:p w14:paraId="52CAEBA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4DBEC39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1B4F11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3EE3CC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Existing Aboriginal rights – protected under s. 35(1)</w:t>
            </w:r>
          </w:p>
        </w:tc>
        <w:tc>
          <w:tcPr>
            <w:tcW w:w="510" w:type="dxa"/>
            <w:vAlign w:val="center"/>
          </w:tcPr>
          <w:p w14:paraId="659ED9C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1A14F98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2306C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925C7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Existing jurisprudence – factor in determining standard of review – JR – nature of Q and DM</w:t>
            </w:r>
          </w:p>
        </w:tc>
        <w:tc>
          <w:tcPr>
            <w:tcW w:w="510" w:type="dxa"/>
            <w:vAlign w:val="center"/>
          </w:tcPr>
          <w:p w14:paraId="5AF242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1AE4AF9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F34DD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CBAD0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Expertise of tribunal – factor in determining standard of review – JR</w:t>
            </w:r>
          </w:p>
        </w:tc>
        <w:tc>
          <w:tcPr>
            <w:tcW w:w="510" w:type="dxa"/>
            <w:vAlign w:val="center"/>
          </w:tcPr>
          <w:p w14:paraId="6EB8A46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3C86ECB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6DA28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301A89" w14:textId="77777777" w:rsidR="00A72EAE" w:rsidRPr="00C4788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Extinguishment of Aboriginal and treaty rights – </w:t>
            </w:r>
            <w:r>
              <w:rPr>
                <w:rFonts w:ascii="Arial Narrow Italic" w:hAnsi="Arial Narrow Italic"/>
                <w:sz w:val="20"/>
              </w:rPr>
              <w:t>SEE “Aboriginal rights – extinguishment”</w:t>
            </w:r>
          </w:p>
        </w:tc>
        <w:tc>
          <w:tcPr>
            <w:tcW w:w="510" w:type="dxa"/>
            <w:vAlign w:val="center"/>
          </w:tcPr>
          <w:p w14:paraId="3276DCE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1505494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37865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5C16C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Extradition to face death penalty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12 – cruel and unusual treatment</w:t>
            </w:r>
          </w:p>
        </w:tc>
        <w:tc>
          <w:tcPr>
            <w:tcW w:w="510" w:type="dxa"/>
            <w:vAlign w:val="center"/>
          </w:tcPr>
          <w:p w14:paraId="39E326D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A54D4E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822897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DAD98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Extrinsic evidence – Aboriginal treaties – </w:t>
            </w:r>
            <w:r>
              <w:rPr>
                <w:rFonts w:ascii="Arial Narrow Italic" w:hAnsi="Arial Narrow Italic"/>
                <w:sz w:val="20"/>
              </w:rPr>
              <w:t>R. v. Marshall</w:t>
            </w:r>
          </w:p>
        </w:tc>
        <w:tc>
          <w:tcPr>
            <w:tcW w:w="510" w:type="dxa"/>
            <w:vAlign w:val="center"/>
          </w:tcPr>
          <w:p w14:paraId="32D918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D942A2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5E7AF8E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70016064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lastRenderedPageBreak/>
              <w:t>F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FDBD05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ED3942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668C8FB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46991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Fairness (duty of)</w:t>
            </w:r>
            <w:r>
              <w:rPr>
                <w:rFonts w:ascii="Arial Narrow" w:hAnsi="Arial Narrow"/>
                <w:sz w:val="20"/>
              </w:rPr>
              <w:t xml:space="preserve"> – application to both judicial and non-judicial decisions</w:t>
            </w:r>
          </w:p>
        </w:tc>
        <w:tc>
          <w:tcPr>
            <w:tcW w:w="510" w:type="dxa"/>
            <w:vAlign w:val="center"/>
          </w:tcPr>
          <w:p w14:paraId="436B5A7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087AB55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4B91106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72650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(1) nature of decision being made</w:t>
            </w:r>
          </w:p>
        </w:tc>
        <w:tc>
          <w:tcPr>
            <w:tcW w:w="510" w:type="dxa"/>
            <w:vAlign w:val="center"/>
          </w:tcPr>
          <w:p w14:paraId="7499A51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455E3E8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BB1FD4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2F90C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(2) nature of statutory scheme</w:t>
            </w:r>
          </w:p>
        </w:tc>
        <w:tc>
          <w:tcPr>
            <w:tcW w:w="510" w:type="dxa"/>
            <w:vAlign w:val="center"/>
          </w:tcPr>
          <w:p w14:paraId="16D19C6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0268DB4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7EA1D7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4F5522" w14:textId="77777777" w:rsidR="00A72EAE" w:rsidRPr="00F15931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 xml:space="preserve">factors – (3) importance of decision to individuals affected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Homex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; </w:t>
            </w:r>
            <w:r>
              <w:rPr>
                <w:rFonts w:ascii="Arial Narrow" w:hAnsi="Arial Narrow"/>
                <w:i/>
                <w:sz w:val="20"/>
              </w:rPr>
              <w:t>Webb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6C81C1D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48F7725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0EBFA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7A32D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(4) legitimate expectations of individual</w:t>
            </w:r>
          </w:p>
        </w:tc>
        <w:tc>
          <w:tcPr>
            <w:tcW w:w="510" w:type="dxa"/>
            <w:vAlign w:val="center"/>
          </w:tcPr>
          <w:p w14:paraId="29FDCB5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086F4D0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C212A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FA1B6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>factors – (5) choice of procedure by agency</w:t>
            </w:r>
          </w:p>
        </w:tc>
        <w:tc>
          <w:tcPr>
            <w:tcW w:w="510" w:type="dxa"/>
            <w:vAlign w:val="center"/>
          </w:tcPr>
          <w:p w14:paraId="00FAD58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1DE66F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26458E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68B094" w14:textId="77777777" w:rsidR="00A72EAE" w:rsidRPr="00D936C0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</w:t>
            </w:r>
            <w:r>
              <w:rPr>
                <w:rFonts w:ascii="Arial Narrow Italic" w:hAnsi="Arial Narrow Italic"/>
                <w:sz w:val="20"/>
              </w:rPr>
              <w:t xml:space="preserve">Baker </w:t>
            </w:r>
            <w:r>
              <w:rPr>
                <w:rFonts w:ascii="Arial Narrow" w:hAnsi="Arial Narrow"/>
                <w:sz w:val="20"/>
              </w:rPr>
              <w:t xml:space="preserve">factors – (6) influence of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principles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Cadeddu</w:t>
            </w:r>
            <w:proofErr w:type="spellEnd"/>
          </w:p>
        </w:tc>
        <w:tc>
          <w:tcPr>
            <w:tcW w:w="510" w:type="dxa"/>
            <w:vAlign w:val="center"/>
          </w:tcPr>
          <w:p w14:paraId="4E4AFCD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2DD2FDE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986B1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B417D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Fairness (duty of) – basic content of doctrine – right to know case to meet, right to make submissions, and potentially right to reasons</w:t>
            </w:r>
          </w:p>
        </w:tc>
        <w:tc>
          <w:tcPr>
            <w:tcW w:w="510" w:type="dxa"/>
            <w:vAlign w:val="center"/>
          </w:tcPr>
          <w:p w14:paraId="4E02B51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8E94EF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2B7D50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489AB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courts reluctant to intervene if elements present – </w:t>
            </w:r>
            <w:r>
              <w:rPr>
                <w:rFonts w:ascii="Arial Narrow Italic" w:hAnsi="Arial Narrow Italic"/>
                <w:sz w:val="20"/>
              </w:rPr>
              <w:t>Knight v. Indian Head</w:t>
            </w:r>
          </w:p>
        </w:tc>
        <w:tc>
          <w:tcPr>
            <w:tcW w:w="510" w:type="dxa"/>
            <w:vAlign w:val="center"/>
          </w:tcPr>
          <w:p w14:paraId="6F651AC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14C02CA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03ED868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9329F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definition – </w:t>
            </w:r>
            <w:r>
              <w:rPr>
                <w:rFonts w:ascii="Arial Narrow Italic" w:hAnsi="Arial Narrow Italic"/>
                <w:sz w:val="20"/>
              </w:rPr>
              <w:t>Nicholson</w:t>
            </w:r>
          </w:p>
        </w:tc>
        <w:tc>
          <w:tcPr>
            <w:tcW w:w="510" w:type="dxa"/>
            <w:vAlign w:val="center"/>
          </w:tcPr>
          <w:p w14:paraId="05BDA4C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766202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382036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4EA3F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Fairness (duty of) – factors affecting content of duty – </w:t>
            </w: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</w:t>
            </w:r>
          </w:p>
        </w:tc>
        <w:tc>
          <w:tcPr>
            <w:tcW w:w="510" w:type="dxa"/>
            <w:vAlign w:val="center"/>
          </w:tcPr>
          <w:p w14:paraId="45F3FF2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C91957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B3FEE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CEE3C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Fairness (duty of) – purpose – meaningful chance to present case, have it considered by DM</w:t>
            </w:r>
          </w:p>
        </w:tc>
        <w:tc>
          <w:tcPr>
            <w:tcW w:w="510" w:type="dxa"/>
            <w:vAlign w:val="center"/>
          </w:tcPr>
          <w:p w14:paraId="0A0667E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32CBB08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64D913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B54A0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Federal Court </w:t>
            </w:r>
            <w:r>
              <w:rPr>
                <w:rFonts w:ascii="Arial Narrow" w:hAnsi="Arial Narrow"/>
                <w:sz w:val="20"/>
              </w:rPr>
              <w:t xml:space="preserve">– constitutional matters – </w:t>
            </w:r>
            <w:r>
              <w:rPr>
                <w:rFonts w:ascii="Arial Narrow Italic" w:hAnsi="Arial Narrow Italic"/>
                <w:sz w:val="20"/>
              </w:rPr>
              <w:t>SEE “Constitutional procedure – Federal Court”</w:t>
            </w:r>
          </w:p>
        </w:tc>
        <w:tc>
          <w:tcPr>
            <w:tcW w:w="510" w:type="dxa"/>
            <w:vAlign w:val="center"/>
          </w:tcPr>
          <w:p w14:paraId="3BE6CCA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047281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2FB154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DB7FD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Federal Court – privacy – role in reviewing decisions related to personal information</w:t>
            </w:r>
          </w:p>
        </w:tc>
        <w:tc>
          <w:tcPr>
            <w:tcW w:w="510" w:type="dxa"/>
            <w:vAlign w:val="center"/>
          </w:tcPr>
          <w:p w14:paraId="5DC344CC" w14:textId="77777777" w:rsidR="00A72EAE" w:rsidRDefault="00A72EAE" w:rsidP="008B3682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2733381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C378E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6D3A7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Court – procedure – </w:t>
            </w:r>
            <w:r>
              <w:rPr>
                <w:rFonts w:ascii="Arial Narrow Italic" w:hAnsi="Arial Narrow Italic"/>
                <w:sz w:val="20"/>
              </w:rPr>
              <w:t>SEE also “Constitutional procedure – Federal Court”</w:t>
            </w:r>
          </w:p>
        </w:tc>
        <w:tc>
          <w:tcPr>
            <w:tcW w:w="510" w:type="dxa"/>
            <w:vAlign w:val="center"/>
          </w:tcPr>
          <w:p w14:paraId="6A6894B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491DEDC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34A27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6B98E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Courts – jurisdiction re: constitutional questions – </w:t>
            </w:r>
            <w:r>
              <w:rPr>
                <w:rFonts w:ascii="Arial Narrow Italic" w:hAnsi="Arial Narrow Italic"/>
                <w:sz w:val="20"/>
              </w:rPr>
              <w:t>SEE also “JR”</w:t>
            </w:r>
          </w:p>
        </w:tc>
        <w:tc>
          <w:tcPr>
            <w:tcW w:w="510" w:type="dxa"/>
            <w:vAlign w:val="center"/>
          </w:tcPr>
          <w:p w14:paraId="2CD621F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2DE1320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AD0BD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EDCAF6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Federal Courts Act</w:t>
            </w:r>
            <w:r>
              <w:rPr>
                <w:rFonts w:ascii="Arial Narrow" w:hAnsi="Arial Narrow"/>
                <w:sz w:val="20"/>
              </w:rPr>
              <w:t xml:space="preserve"> – 2003 amendments creating two separate courts</w:t>
            </w:r>
          </w:p>
        </w:tc>
        <w:tc>
          <w:tcPr>
            <w:tcW w:w="510" w:type="dxa"/>
            <w:vAlign w:val="center"/>
          </w:tcPr>
          <w:p w14:paraId="3341F86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04E4710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CFB64C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05E52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Federal Courts Act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(FCA) </w:t>
            </w:r>
            <w:r>
              <w:rPr>
                <w:rFonts w:ascii="Arial Narrow" w:hAnsi="Arial Narrow"/>
                <w:sz w:val="20"/>
              </w:rPr>
              <w:t xml:space="preserve">– JR – federal </w:t>
            </w:r>
          </w:p>
        </w:tc>
        <w:tc>
          <w:tcPr>
            <w:tcW w:w="510" w:type="dxa"/>
            <w:vAlign w:val="center"/>
          </w:tcPr>
          <w:p w14:paraId="0E34015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7C239AE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0E6BC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5597F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Federal Courts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>) – JR – relief available (s. 18.1(3))</w:t>
            </w:r>
          </w:p>
        </w:tc>
        <w:tc>
          <w:tcPr>
            <w:tcW w:w="510" w:type="dxa"/>
            <w:vAlign w:val="center"/>
          </w:tcPr>
          <w:p w14:paraId="15B45DD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4381AD6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900833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D305C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Federal Courts Act (FCA) </w:t>
            </w:r>
            <w:r>
              <w:rPr>
                <w:rFonts w:ascii="Arial Narrow" w:hAnsi="Arial Narrow"/>
                <w:sz w:val="20"/>
              </w:rPr>
              <w:t>– jurisdiction of Federal Courts (ss. 2(1), 18.1, 28)</w:t>
            </w:r>
          </w:p>
        </w:tc>
        <w:tc>
          <w:tcPr>
            <w:tcW w:w="510" w:type="dxa"/>
            <w:vAlign w:val="center"/>
          </w:tcPr>
          <w:p w14:paraId="50909BE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56B997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CB590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B77BC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 xml:space="preserve">SEE “Division of powers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paramountcy</w:t>
            </w:r>
            <w:proofErr w:type="spellEnd"/>
            <w:r>
              <w:rPr>
                <w:rFonts w:ascii="Arial Narrow Italic" w:hAnsi="Arial Narrow Italic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01133E4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5A4824B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7F3B25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C6C7BC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Federal powers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68D69EB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0C94EA7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7469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0DAF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association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2(d) – protects collective bargaining</w:t>
            </w:r>
          </w:p>
        </w:tc>
        <w:tc>
          <w:tcPr>
            <w:tcW w:w="510" w:type="dxa"/>
            <w:vAlign w:val="center"/>
          </w:tcPr>
          <w:p w14:paraId="06FFE6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222D146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72193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068C1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expression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2(b)</w:t>
            </w:r>
          </w:p>
        </w:tc>
        <w:tc>
          <w:tcPr>
            <w:tcW w:w="510" w:type="dxa"/>
            <w:vAlign w:val="center"/>
          </w:tcPr>
          <w:p w14:paraId="3538B5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5B9CBD9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A1AE8F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1D0E8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Freedom of information – appeal or complaint rights</w:t>
            </w:r>
          </w:p>
        </w:tc>
        <w:tc>
          <w:tcPr>
            <w:tcW w:w="510" w:type="dxa"/>
            <w:vAlign w:val="center"/>
          </w:tcPr>
          <w:p w14:paraId="4BC3EA5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3601475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C3DA2F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68181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burden of proof – exemptions and exclusions</w:t>
            </w:r>
          </w:p>
        </w:tc>
        <w:tc>
          <w:tcPr>
            <w:tcW w:w="510" w:type="dxa"/>
            <w:vAlign w:val="center"/>
          </w:tcPr>
          <w:p w14:paraId="2570BAF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70C2622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15424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A14A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commissioners – binding orders vs. non-binding recommendations</w:t>
            </w:r>
          </w:p>
        </w:tc>
        <w:tc>
          <w:tcPr>
            <w:tcW w:w="510" w:type="dxa"/>
            <w:vAlign w:val="center"/>
          </w:tcPr>
          <w:p w14:paraId="2DB2EA1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43CB179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ACA6A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FA51D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commissioners – federal Information Commissioner – ombudsman-like role</w:t>
            </w:r>
          </w:p>
        </w:tc>
        <w:tc>
          <w:tcPr>
            <w:tcW w:w="510" w:type="dxa"/>
            <w:vAlign w:val="center"/>
          </w:tcPr>
          <w:p w14:paraId="65226EC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74FFF79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DF42F6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5F846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commissioners – federal vs. ON – slightly different powers</w:t>
            </w:r>
          </w:p>
        </w:tc>
        <w:tc>
          <w:tcPr>
            <w:tcW w:w="510" w:type="dxa"/>
            <w:vAlign w:val="center"/>
          </w:tcPr>
          <w:p w14:paraId="0567E8C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7E59969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481C5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CC1E0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commissioners – ON Info and Privacy Commissioner – power to issue binding orders </w:t>
            </w:r>
          </w:p>
        </w:tc>
        <w:tc>
          <w:tcPr>
            <w:tcW w:w="510" w:type="dxa"/>
            <w:vAlign w:val="center"/>
          </w:tcPr>
          <w:p w14:paraId="50A8933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E245FF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26FF3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78BEC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commissioners – review of decisions </w:t>
            </w:r>
          </w:p>
        </w:tc>
        <w:tc>
          <w:tcPr>
            <w:tcW w:w="510" w:type="dxa"/>
            <w:vAlign w:val="center"/>
          </w:tcPr>
          <w:p w14:paraId="103CB22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038BBA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7870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DC074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costs – fees</w:t>
            </w:r>
          </w:p>
        </w:tc>
        <w:tc>
          <w:tcPr>
            <w:tcW w:w="510" w:type="dxa"/>
            <w:vAlign w:val="center"/>
          </w:tcPr>
          <w:p w14:paraId="030F948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07C1F8F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86BCEB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7DD08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Freedom of information – exclusions</w:t>
            </w:r>
          </w:p>
        </w:tc>
        <w:tc>
          <w:tcPr>
            <w:tcW w:w="510" w:type="dxa"/>
            <w:vAlign w:val="center"/>
          </w:tcPr>
          <w:p w14:paraId="4FB53B1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6A87A6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CA387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E5A5C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exclusions – burden of proof</w:t>
            </w:r>
          </w:p>
        </w:tc>
        <w:tc>
          <w:tcPr>
            <w:tcW w:w="510" w:type="dxa"/>
            <w:vAlign w:val="center"/>
          </w:tcPr>
          <w:p w14:paraId="7715D40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1B74F43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850092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E661C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exclusions under federal legislation – </w:t>
            </w:r>
            <w:r>
              <w:rPr>
                <w:rFonts w:ascii="Arial Narrow Italic" w:hAnsi="Arial Narrow Italic"/>
                <w:sz w:val="20"/>
              </w:rPr>
              <w:t>ATIA</w:t>
            </w:r>
          </w:p>
        </w:tc>
        <w:tc>
          <w:tcPr>
            <w:tcW w:w="510" w:type="dxa"/>
            <w:vAlign w:val="center"/>
          </w:tcPr>
          <w:p w14:paraId="594158D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3AF9481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93ACE9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7BF2B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exclusions under Ontario legislation – </w:t>
            </w:r>
            <w:r>
              <w:rPr>
                <w:rFonts w:ascii="Arial Narrow Italic" w:hAnsi="Arial Narrow Italic"/>
                <w:sz w:val="20"/>
              </w:rPr>
              <w:t xml:space="preserve">FIPPA </w:t>
            </w:r>
            <w:r>
              <w:rPr>
                <w:rFonts w:ascii="Arial Narrow" w:hAnsi="Arial Narrow"/>
                <w:sz w:val="20"/>
              </w:rPr>
              <w:t xml:space="preserve">and </w:t>
            </w:r>
            <w:r>
              <w:rPr>
                <w:rFonts w:ascii="Arial Narrow Italic" w:hAnsi="Arial Narrow Italic"/>
                <w:sz w:val="20"/>
              </w:rPr>
              <w:t>MFIPPA</w:t>
            </w:r>
          </w:p>
        </w:tc>
        <w:tc>
          <w:tcPr>
            <w:tcW w:w="510" w:type="dxa"/>
            <w:vAlign w:val="center"/>
          </w:tcPr>
          <w:p w14:paraId="0B1C00C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4C5663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1EED93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140D7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exclusions vs. exemptions</w:t>
            </w:r>
          </w:p>
        </w:tc>
        <w:tc>
          <w:tcPr>
            <w:tcW w:w="510" w:type="dxa"/>
            <w:vAlign w:val="center"/>
          </w:tcPr>
          <w:p w14:paraId="2C56225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F704AB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E1223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0F2C1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Freedom of information – exemptions</w:t>
            </w:r>
          </w:p>
        </w:tc>
        <w:tc>
          <w:tcPr>
            <w:tcW w:w="510" w:type="dxa"/>
            <w:vAlign w:val="center"/>
          </w:tcPr>
          <w:p w14:paraId="481BD29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6E6AA8F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D612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E95B1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exemptions – “severed” or “redacted” records</w:t>
            </w:r>
          </w:p>
        </w:tc>
        <w:tc>
          <w:tcPr>
            <w:tcW w:w="510" w:type="dxa"/>
            <w:vAlign w:val="center"/>
          </w:tcPr>
          <w:p w14:paraId="1A58380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456B3B7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48287B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8D24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exemptions – burden of proof</w:t>
            </w:r>
          </w:p>
        </w:tc>
        <w:tc>
          <w:tcPr>
            <w:tcW w:w="510" w:type="dxa"/>
            <w:vAlign w:val="center"/>
          </w:tcPr>
          <w:p w14:paraId="39BD507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2EC4872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C0F187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9C499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exemptions – mandatory vs. discretionary</w:t>
            </w:r>
          </w:p>
        </w:tc>
        <w:tc>
          <w:tcPr>
            <w:tcW w:w="510" w:type="dxa"/>
            <w:vAlign w:val="center"/>
          </w:tcPr>
          <w:p w14:paraId="2CBF4FB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4260F1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C6675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2A5DC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federal – </w:t>
            </w:r>
            <w:r>
              <w:rPr>
                <w:rFonts w:ascii="Arial Narrow Italic" w:hAnsi="Arial Narrow Italic"/>
                <w:sz w:val="20"/>
              </w:rPr>
              <w:t>Access to Information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ATIA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165C7F4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758A799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4A16D7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C260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fees – costs</w:t>
            </w:r>
          </w:p>
        </w:tc>
        <w:tc>
          <w:tcPr>
            <w:tcW w:w="510" w:type="dxa"/>
            <w:vAlign w:val="center"/>
          </w:tcPr>
          <w:p w14:paraId="7902304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402A5D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8A362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F257A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general</w:t>
            </w:r>
          </w:p>
        </w:tc>
        <w:tc>
          <w:tcPr>
            <w:tcW w:w="510" w:type="dxa"/>
            <w:vAlign w:val="center"/>
          </w:tcPr>
          <w:p w14:paraId="1F1AB76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5EFADA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9F043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190C0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importance for legal practice</w:t>
            </w:r>
          </w:p>
        </w:tc>
        <w:tc>
          <w:tcPr>
            <w:tcW w:w="510" w:type="dxa"/>
            <w:vAlign w:val="center"/>
          </w:tcPr>
          <w:p w14:paraId="4EEE4D8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2720A1E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725368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4C40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informal requests or routine disclosure</w:t>
            </w:r>
          </w:p>
        </w:tc>
        <w:tc>
          <w:tcPr>
            <w:tcW w:w="510" w:type="dxa"/>
            <w:vAlign w:val="center"/>
          </w:tcPr>
          <w:p w14:paraId="65619CD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6CCA477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B9D0A6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A930F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invalid grounds for refusing to disclose</w:t>
            </w:r>
          </w:p>
        </w:tc>
        <w:tc>
          <w:tcPr>
            <w:tcW w:w="510" w:type="dxa"/>
            <w:vAlign w:val="center"/>
          </w:tcPr>
          <w:p w14:paraId="4AC7FA0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4CF9BE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9E24F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A57D5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legislation – purpose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Dagg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(Minister of Finance)</w:t>
            </w:r>
          </w:p>
        </w:tc>
        <w:tc>
          <w:tcPr>
            <w:tcW w:w="510" w:type="dxa"/>
            <w:vAlign w:val="center"/>
          </w:tcPr>
          <w:p w14:paraId="11C7587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2799947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A7807D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086F2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making a request</w:t>
            </w:r>
          </w:p>
        </w:tc>
        <w:tc>
          <w:tcPr>
            <w:tcW w:w="510" w:type="dxa"/>
            <w:vAlign w:val="center"/>
          </w:tcPr>
          <w:p w14:paraId="009BDC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766D4EE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B97C1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D2DE3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making a request – specifying reasons for request – not necessary</w:t>
            </w:r>
          </w:p>
        </w:tc>
        <w:tc>
          <w:tcPr>
            <w:tcW w:w="510" w:type="dxa"/>
            <w:vAlign w:val="center"/>
          </w:tcPr>
          <w:p w14:paraId="39A4970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7A431C0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7679B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7F23C8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Freedom of information – mandatory vs. discretionary exemptions</w:t>
            </w:r>
          </w:p>
        </w:tc>
        <w:tc>
          <w:tcPr>
            <w:tcW w:w="510" w:type="dxa"/>
            <w:vAlign w:val="center"/>
          </w:tcPr>
          <w:p w14:paraId="7308A7E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2E1F721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63828E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C215E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Freedom of information – municipal – </w:t>
            </w:r>
            <w:r>
              <w:rPr>
                <w:rFonts w:ascii="Arial Narrow Italic" w:hAnsi="Arial Narrow Italic"/>
                <w:sz w:val="20"/>
              </w:rPr>
              <w:t xml:space="preserve">Municipal Freedom of Information and Protection of Privacy Act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 Italic" w:hAnsi="Arial Narrow Italic"/>
                <w:sz w:val="20"/>
              </w:rPr>
              <w:t>MFIPPA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2CCF74C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2DBF7D5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C7DD0D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87006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provincial – ON</w:t>
            </w:r>
            <w:r>
              <w:rPr>
                <w:rFonts w:ascii="Arial Narrow Italic" w:hAnsi="Arial Narrow Italic"/>
                <w:sz w:val="20"/>
              </w:rPr>
              <w:t xml:space="preserve"> Freedom of Information and Protection of Privacy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FIPPA</w:t>
            </w:r>
            <w:r w:rsidRPr="00AA6837">
              <w:rPr>
                <w:rFonts w:ascii="Arial Narrow" w:hAnsi="Arial Narrow"/>
                <w:sz w:val="20"/>
              </w:rPr>
              <w:t>, ON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7D26AC3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4FA949B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966BD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C290E3" w14:textId="77777777" w:rsidR="00A72EAE" w:rsidRPr="00EE43D1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color w:val="auto"/>
                <w:sz w:val="20"/>
              </w:rPr>
            </w:pPr>
            <w:r w:rsidRPr="00EE43D1">
              <w:rPr>
                <w:rFonts w:ascii="Arial Narrow Bold" w:hAnsi="Arial Narrow Bold"/>
                <w:color w:val="auto"/>
                <w:sz w:val="20"/>
              </w:rPr>
              <w:t>Freedom of information –</w:t>
            </w:r>
            <w:r w:rsidRPr="00EE43D1">
              <w:rPr>
                <w:rFonts w:ascii="Arial Narrow" w:hAnsi="Arial Narrow"/>
                <w:color w:val="auto"/>
                <w:sz w:val="20"/>
              </w:rPr>
              <w:t xml:space="preserve"> records vs. oral information or testimony</w:t>
            </w:r>
          </w:p>
        </w:tc>
        <w:tc>
          <w:tcPr>
            <w:tcW w:w="510" w:type="dxa"/>
            <w:vAlign w:val="center"/>
          </w:tcPr>
          <w:p w14:paraId="503D562A" w14:textId="77777777" w:rsidR="00A72EAE" w:rsidRPr="00EE43D1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olor w:val="auto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5C1F734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color w:val="auto"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7782F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B328E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review of decisions by commissioners</w:t>
            </w:r>
          </w:p>
        </w:tc>
        <w:tc>
          <w:tcPr>
            <w:tcW w:w="510" w:type="dxa"/>
            <w:vAlign w:val="center"/>
          </w:tcPr>
          <w:p w14:paraId="4A345EE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5628FCC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1D960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E7270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severed or “redacted” records</w:t>
            </w:r>
          </w:p>
        </w:tc>
        <w:tc>
          <w:tcPr>
            <w:tcW w:w="510" w:type="dxa"/>
            <w:vAlign w:val="center"/>
          </w:tcPr>
          <w:p w14:paraId="7AD1ECE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627AF36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ACDB9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545E6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Freedom of information – timing</w:t>
            </w:r>
          </w:p>
        </w:tc>
        <w:tc>
          <w:tcPr>
            <w:tcW w:w="510" w:type="dxa"/>
            <w:vAlign w:val="center"/>
          </w:tcPr>
          <w:p w14:paraId="5EB59E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</w:t>
            </w:r>
          </w:p>
        </w:tc>
        <w:tc>
          <w:tcPr>
            <w:tcW w:w="427" w:type="dxa"/>
            <w:vAlign w:val="center"/>
          </w:tcPr>
          <w:p w14:paraId="789FF02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949288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580446" w14:textId="77777777" w:rsidR="00A72EAE" w:rsidRPr="00AA683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Freedom of Information and Protection of Privacy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</w:rPr>
              <w:t>FIPPA</w:t>
            </w:r>
            <w:r>
              <w:rPr>
                <w:rFonts w:ascii="Arial Narrow" w:hAnsi="Arial Narrow"/>
                <w:sz w:val="20"/>
              </w:rPr>
              <w:t xml:space="preserve">, ON) – provincial – ON – </w:t>
            </w:r>
            <w:r w:rsidRPr="00C64019">
              <w:rPr>
                <w:rFonts w:ascii="Arial Narrow" w:hAnsi="Arial Narrow"/>
                <w:i/>
                <w:sz w:val="20"/>
              </w:rPr>
              <w:t>SEE “Freedom of information”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8A8CBA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1E99471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FE1CA6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6A3ACF7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G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02F39F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ECEFE4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75DEA65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9DD5E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Gardner v. Ontario (Civilian Commission on Police Services) </w:t>
            </w:r>
            <w:r>
              <w:rPr>
                <w:rFonts w:ascii="Arial Narrow" w:hAnsi="Arial Narrow"/>
                <w:sz w:val="20"/>
              </w:rPr>
              <w:t>– institutional – involvement in various functions</w:t>
            </w:r>
          </w:p>
        </w:tc>
        <w:tc>
          <w:tcPr>
            <w:tcW w:w="510" w:type="dxa"/>
            <w:vAlign w:val="center"/>
          </w:tcPr>
          <w:p w14:paraId="622327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79A2CEA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1B57F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9F86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General Motors v. City National Leasing </w:t>
            </w:r>
            <w:r>
              <w:rPr>
                <w:rFonts w:ascii="Arial Narrow" w:hAnsi="Arial Narrow"/>
                <w:sz w:val="20"/>
              </w:rPr>
              <w:t>– division of powers – “general trade and commerce”</w:t>
            </w:r>
          </w:p>
        </w:tc>
        <w:tc>
          <w:tcPr>
            <w:tcW w:w="510" w:type="dxa"/>
            <w:vAlign w:val="center"/>
          </w:tcPr>
          <w:p w14:paraId="78075A8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4D27FA2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117BF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DC60E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Government action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necessary for application of Charter</w:t>
            </w:r>
          </w:p>
        </w:tc>
        <w:tc>
          <w:tcPr>
            <w:tcW w:w="510" w:type="dxa"/>
            <w:vAlign w:val="center"/>
          </w:tcPr>
          <w:p w14:paraId="737E2DF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4AB5876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2105E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0CFB0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Grant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24(2) – exclusion of evidence in criminal cases</w:t>
            </w:r>
          </w:p>
        </w:tc>
        <w:tc>
          <w:tcPr>
            <w:tcW w:w="510" w:type="dxa"/>
            <w:vAlign w:val="center"/>
          </w:tcPr>
          <w:p w14:paraId="48064C4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34A8FD7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4A5632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8F8C02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Grounds of review – JR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18.1(4),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2</w:t>
            </w:r>
          </w:p>
        </w:tc>
        <w:tc>
          <w:tcPr>
            <w:tcW w:w="510" w:type="dxa"/>
            <w:vAlign w:val="center"/>
          </w:tcPr>
          <w:p w14:paraId="59F17F8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20B6173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689B60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D9EEF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Guignard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>R. v.</w:t>
            </w:r>
            <w:r>
              <w:rPr>
                <w:rFonts w:ascii="Arial Narrow" w:hAnsi="Arial Narrow"/>
                <w:sz w:val="20"/>
              </w:rPr>
              <w:t xml:space="preserve">)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 – constitutional exemption</w:t>
            </w:r>
          </w:p>
        </w:tc>
        <w:tc>
          <w:tcPr>
            <w:tcW w:w="510" w:type="dxa"/>
            <w:vAlign w:val="center"/>
          </w:tcPr>
          <w:p w14:paraId="5EB24A9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78E50F5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8238EBF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C18D9F8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H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06EFE7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D2539B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5EAF74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2825D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10 – rights upon arrest</w:t>
            </w:r>
          </w:p>
        </w:tc>
        <w:tc>
          <w:tcPr>
            <w:tcW w:w="510" w:type="dxa"/>
            <w:vAlign w:val="center"/>
          </w:tcPr>
          <w:p w14:paraId="1A410EB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4CDD3E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06A51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27247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JR – relief available – prerogative</w:t>
            </w:r>
          </w:p>
        </w:tc>
        <w:tc>
          <w:tcPr>
            <w:tcW w:w="510" w:type="dxa"/>
            <w:vAlign w:val="center"/>
          </w:tcPr>
          <w:p w14:paraId="54AF937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6EB8538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02822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D65ED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Haida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Nation v. BC</w:t>
            </w:r>
            <w:r>
              <w:rPr>
                <w:rFonts w:ascii="Arial Narrow" w:hAnsi="Arial Narrow"/>
                <w:sz w:val="20"/>
              </w:rPr>
              <w:t xml:space="preserve"> – Aboriginal rights – duty to consult</w:t>
            </w:r>
          </w:p>
        </w:tc>
        <w:tc>
          <w:tcPr>
            <w:tcW w:w="510" w:type="dxa"/>
            <w:vAlign w:val="center"/>
          </w:tcPr>
          <w:p w14:paraId="30016B9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4188977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4F9494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C23F0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Hansard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</w:t>
            </w:r>
          </w:p>
        </w:tc>
        <w:tc>
          <w:tcPr>
            <w:tcW w:w="510" w:type="dxa"/>
            <w:vAlign w:val="center"/>
          </w:tcPr>
          <w:p w14:paraId="4CF8FE8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07488A9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C20806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7DDA4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Heads of power – Parliament vs. provinces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792B9E5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1965A96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DDC42C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EABAC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Health – provincial power (mostly)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090CF39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50EA76C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67CAFA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5F9CD5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Hearing – form and conduct of – natural justice</w:t>
            </w:r>
          </w:p>
        </w:tc>
        <w:tc>
          <w:tcPr>
            <w:tcW w:w="510" w:type="dxa"/>
            <w:vAlign w:val="center"/>
          </w:tcPr>
          <w:p w14:paraId="2B484E2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0FEB71E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39F21A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6BC7F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Hearing – </w:t>
            </w:r>
            <w:r>
              <w:rPr>
                <w:rFonts w:ascii="Arial Narrow Italic" w:hAnsi="Arial Narrow Italic"/>
                <w:sz w:val="20"/>
              </w:rPr>
              <w:t xml:space="preserve">in camera </w:t>
            </w:r>
            <w:r>
              <w:rPr>
                <w:rFonts w:ascii="Arial Narrow" w:hAnsi="Arial Narrow"/>
                <w:sz w:val="20"/>
              </w:rPr>
              <w:t>– admin tribunals</w:t>
            </w:r>
          </w:p>
        </w:tc>
        <w:tc>
          <w:tcPr>
            <w:tcW w:w="510" w:type="dxa"/>
            <w:vAlign w:val="center"/>
          </w:tcPr>
          <w:p w14:paraId="29E2A22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67362B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BB4599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DB0A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Hearing – open to public, generally</w:t>
            </w:r>
          </w:p>
        </w:tc>
        <w:tc>
          <w:tcPr>
            <w:tcW w:w="510" w:type="dxa"/>
            <w:vAlign w:val="center"/>
          </w:tcPr>
          <w:p w14:paraId="5038C7C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D5547E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43B74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0DE96B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Homex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Realty v. Wyoming</w:t>
            </w:r>
            <w:r>
              <w:rPr>
                <w:rFonts w:ascii="Arial Narrow" w:hAnsi="Arial Narrow"/>
                <w:sz w:val="20"/>
              </w:rPr>
              <w:t xml:space="preserve"> – duty of fairness</w:t>
            </w:r>
          </w:p>
        </w:tc>
        <w:tc>
          <w:tcPr>
            <w:tcW w:w="510" w:type="dxa"/>
            <w:vAlign w:val="center"/>
          </w:tcPr>
          <w:p w14:paraId="464859D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0ABA73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CDC38C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F5F11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lastRenderedPageBreak/>
              <w:t>Housen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Nikolaisen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standard of review on appeal</w:t>
            </w:r>
          </w:p>
        </w:tc>
        <w:tc>
          <w:tcPr>
            <w:tcW w:w="510" w:type="dxa"/>
            <w:vAlign w:val="center"/>
          </w:tcPr>
          <w:p w14:paraId="612E1C4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41008AD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:rsidRPr="001A7521" w14:paraId="598098D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7ABA67" w14:textId="77777777" w:rsidR="00A72EAE" w:rsidRPr="001A7521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Human Rights Code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7A4DDD47" w14:textId="77777777" w:rsidR="00A72EAE" w:rsidRPr="001A7521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182EE12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2AE2D3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73693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Human rights legislation – admin tribunals – jurisdiction to consider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</w:p>
        </w:tc>
        <w:tc>
          <w:tcPr>
            <w:tcW w:w="510" w:type="dxa"/>
            <w:vAlign w:val="center"/>
          </w:tcPr>
          <w:p w14:paraId="2798FE7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3365C7C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5A927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0A07A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Huu</w:t>
            </w:r>
            <w:proofErr w:type="spellEnd"/>
            <w:r>
              <w:rPr>
                <w:rFonts w:ascii="Arial Narrow Italic" w:hAnsi="Arial Narrow Italic"/>
                <w:sz w:val="20"/>
              </w:rPr>
              <w:t>-Ay-</w:t>
            </w:r>
            <w:proofErr w:type="spellStart"/>
            <w:r>
              <w:rPr>
                <w:rFonts w:ascii="Arial Narrow Italic" w:hAnsi="Arial Narrow Italic"/>
                <w:sz w:val="20"/>
              </w:rPr>
              <w:t>Aht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 v. BC (Minister of Forests)</w:t>
            </w:r>
            <w:r>
              <w:rPr>
                <w:rFonts w:ascii="Arial Narrow" w:hAnsi="Arial Narrow"/>
                <w:sz w:val="20"/>
              </w:rPr>
              <w:t xml:space="preserve"> – Aboriginal title – duty to consult</w:t>
            </w:r>
          </w:p>
        </w:tc>
        <w:tc>
          <w:tcPr>
            <w:tcW w:w="510" w:type="dxa"/>
            <w:vAlign w:val="center"/>
          </w:tcPr>
          <w:p w14:paraId="4ED455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2E5D1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4C9FAD8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56B69EE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I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4CBBA1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6AEA3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606E435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A8DF8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Immigration detention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10</w:t>
            </w:r>
          </w:p>
        </w:tc>
        <w:tc>
          <w:tcPr>
            <w:tcW w:w="510" w:type="dxa"/>
            <w:vAlign w:val="center"/>
          </w:tcPr>
          <w:p w14:paraId="1093F43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170CC85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385BF4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1B228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In camera</w:t>
            </w:r>
            <w:r>
              <w:rPr>
                <w:rFonts w:ascii="Arial Narrow" w:hAnsi="Arial Narrow"/>
                <w:sz w:val="20"/>
              </w:rPr>
              <w:t xml:space="preserve"> hearing – admin tribunals </w:t>
            </w:r>
          </w:p>
        </w:tc>
        <w:tc>
          <w:tcPr>
            <w:tcW w:w="510" w:type="dxa"/>
            <w:vAlign w:val="center"/>
          </w:tcPr>
          <w:p w14:paraId="0907489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777A1C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C8E18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0895A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In camera</w:t>
            </w:r>
            <w:r>
              <w:rPr>
                <w:rFonts w:ascii="Arial Narrow" w:hAnsi="Arial Narrow"/>
                <w:sz w:val="20"/>
              </w:rPr>
              <w:t xml:space="preserve"> hearing – admin tribunals – witnesses and their counsel</w:t>
            </w:r>
          </w:p>
        </w:tc>
        <w:tc>
          <w:tcPr>
            <w:tcW w:w="510" w:type="dxa"/>
            <w:vAlign w:val="center"/>
          </w:tcPr>
          <w:p w14:paraId="4D62401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4D40DDE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0D7A5E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546C7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Indians and lands reserved for the Indians – federal power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7BD150F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281B0D3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3D1E5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04EA2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Inherent jurisdiction – admin tribunals</w:t>
            </w:r>
          </w:p>
        </w:tc>
        <w:tc>
          <w:tcPr>
            <w:tcW w:w="510" w:type="dxa"/>
            <w:vAlign w:val="center"/>
          </w:tcPr>
          <w:p w14:paraId="4397ECC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3664605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46031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60C95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Inherent jurisdiction – Federal Courts and 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vs. Superior Court</w:t>
            </w:r>
          </w:p>
        </w:tc>
        <w:tc>
          <w:tcPr>
            <w:tcW w:w="510" w:type="dxa"/>
            <w:vAlign w:val="center"/>
          </w:tcPr>
          <w:p w14:paraId="2A18C40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13252DF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6F3904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58934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Injunction – JR – relief available – equitable</w:t>
            </w:r>
          </w:p>
        </w:tc>
        <w:tc>
          <w:tcPr>
            <w:tcW w:w="510" w:type="dxa"/>
            <w:vAlign w:val="center"/>
          </w:tcPr>
          <w:p w14:paraId="6617146F" w14:textId="77777777" w:rsidR="00A72EAE" w:rsidRPr="00773F72" w:rsidRDefault="00A72EAE" w:rsidP="00BB299D">
            <w:pPr>
              <w:spacing w:after="0" w:line="276" w:lineRule="auto"/>
              <w:jc w:val="center"/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1E77DA0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BB6BE7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F4242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Injunctions – Aboriginal rights – difficulty in obtaining injunctions</w:t>
            </w:r>
          </w:p>
        </w:tc>
        <w:tc>
          <w:tcPr>
            <w:tcW w:w="510" w:type="dxa"/>
            <w:vAlign w:val="center"/>
          </w:tcPr>
          <w:p w14:paraId="491AE26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76B555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F9AEC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B64B8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Injunctions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24 –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487C418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61EA967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3F63D3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60AD5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Institutional bias – </w:t>
            </w:r>
            <w:r>
              <w:rPr>
                <w:rFonts w:ascii="Arial Narrow Italic" w:hAnsi="Arial Narrow Italic"/>
                <w:sz w:val="20"/>
              </w:rPr>
              <w:t>SEE “Bias (natural justice)”</w:t>
            </w:r>
          </w:p>
        </w:tc>
        <w:tc>
          <w:tcPr>
            <w:tcW w:w="510" w:type="dxa"/>
            <w:vAlign w:val="center"/>
          </w:tcPr>
          <w:p w14:paraId="18E69AE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61D06D1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C80D1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9808E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Interim orders or decisions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16.1</w:t>
            </w:r>
          </w:p>
        </w:tc>
        <w:tc>
          <w:tcPr>
            <w:tcW w:w="510" w:type="dxa"/>
            <w:vAlign w:val="center"/>
          </w:tcPr>
          <w:p w14:paraId="2B9970A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883E3D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3D6D55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AAF35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Interim relief, incl. stay of proceeding – JR – relief available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4046FF9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7EC9192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FFF44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C270B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Inter-jurisdictional immunity – </w:t>
            </w:r>
            <w:r>
              <w:rPr>
                <w:rFonts w:ascii="Arial Narrow Italic" w:hAnsi="Arial Narrow Italic"/>
                <w:sz w:val="20"/>
              </w:rPr>
              <w:t>SEE “Division of powers – inter-jurisdictional immunity”</w:t>
            </w:r>
          </w:p>
        </w:tc>
        <w:tc>
          <w:tcPr>
            <w:tcW w:w="510" w:type="dxa"/>
            <w:vAlign w:val="center"/>
          </w:tcPr>
          <w:p w14:paraId="356A489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496E855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B0910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FF94F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Interpretation of Aboriginal treaties – </w:t>
            </w:r>
            <w:r>
              <w:rPr>
                <w:rFonts w:ascii="Arial Narrow Italic" w:hAnsi="Arial Narrow Italic"/>
                <w:sz w:val="20"/>
              </w:rPr>
              <w:t>SEE also “Aboriginal rights – treaty interpretation”</w:t>
            </w:r>
          </w:p>
        </w:tc>
        <w:tc>
          <w:tcPr>
            <w:tcW w:w="510" w:type="dxa"/>
            <w:vAlign w:val="center"/>
          </w:tcPr>
          <w:p w14:paraId="5E0374F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45AA22E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1DEE33B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5BA3F75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J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52138D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68E08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3098F40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EC0047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JR – errors of admin law permitting intervention</w:t>
            </w:r>
          </w:p>
        </w:tc>
        <w:tc>
          <w:tcPr>
            <w:tcW w:w="510" w:type="dxa"/>
            <w:vAlign w:val="center"/>
          </w:tcPr>
          <w:p w14:paraId="1777D4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B30221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DDC33E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D737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JR – exhausting statutory appeal mechanisms prior to</w:t>
            </w:r>
          </w:p>
        </w:tc>
        <w:tc>
          <w:tcPr>
            <w:tcW w:w="510" w:type="dxa"/>
            <w:vAlign w:val="center"/>
          </w:tcPr>
          <w:p w14:paraId="3977B88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0EF0D4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0B021D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C0151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federal – </w:t>
            </w:r>
            <w:r>
              <w:rPr>
                <w:rFonts w:ascii="Arial Narrow Italic" w:hAnsi="Arial Narrow Italic"/>
                <w:sz w:val="20"/>
              </w:rPr>
              <w:t>Federal Courts Act (FCA)</w:t>
            </w:r>
          </w:p>
        </w:tc>
        <w:tc>
          <w:tcPr>
            <w:tcW w:w="510" w:type="dxa"/>
            <w:vAlign w:val="center"/>
          </w:tcPr>
          <w:p w14:paraId="2AF5C39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15E109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D4663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0E0D0C" w14:textId="77777777" w:rsidR="00A72EAE" w:rsidRPr="0064306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judicial intervention always discretionary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Volochay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College of Massage Therapists</w:t>
            </w:r>
          </w:p>
        </w:tc>
        <w:tc>
          <w:tcPr>
            <w:tcW w:w="510" w:type="dxa"/>
            <w:vAlign w:val="center"/>
          </w:tcPr>
          <w:p w14:paraId="361728B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18242B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65CE5C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6B1E6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obtaining evidence prior to, under </w:t>
            </w:r>
            <w:r>
              <w:rPr>
                <w:rFonts w:ascii="Arial Narrow Italic" w:hAnsi="Arial Narrow Italic"/>
                <w:sz w:val="20"/>
              </w:rPr>
              <w:t>Freedom of Information and Protection of Privacy Act</w:t>
            </w:r>
          </w:p>
        </w:tc>
        <w:tc>
          <w:tcPr>
            <w:tcW w:w="510" w:type="dxa"/>
            <w:vAlign w:val="center"/>
          </w:tcPr>
          <w:p w14:paraId="687AD3A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B166CE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348189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E914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JR – provincial admin action – different remedies</w:t>
            </w:r>
          </w:p>
        </w:tc>
        <w:tc>
          <w:tcPr>
            <w:tcW w:w="510" w:type="dxa"/>
            <w:vAlign w:val="center"/>
          </w:tcPr>
          <w:p w14:paraId="1CCE392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2E7395D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4DD22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E36D1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provincial admin action – no statutory time limit, but </w:t>
            </w:r>
            <w:r>
              <w:rPr>
                <w:rFonts w:ascii="Arial Narrow Italic" w:hAnsi="Arial Narrow Italic"/>
                <w:sz w:val="20"/>
              </w:rPr>
              <w:t>laches</w:t>
            </w:r>
          </w:p>
        </w:tc>
        <w:tc>
          <w:tcPr>
            <w:tcW w:w="510" w:type="dxa"/>
            <w:vAlign w:val="center"/>
          </w:tcPr>
          <w:p w14:paraId="72DD9D5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AEB02F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DD505C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7CD7FB" w14:textId="77777777" w:rsidR="00A72EAE" w:rsidRPr="004D1C9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provincial admin action – Ontario – </w:t>
            </w:r>
            <w:r>
              <w:rPr>
                <w:rFonts w:ascii="Arial Narrow" w:hAnsi="Arial Narrow"/>
                <w:i/>
                <w:sz w:val="20"/>
              </w:rPr>
              <w:t>Judicial Review Procedure Act (JRPA)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5A766B8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C07445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D805B7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4BBD7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standard of review – </w:t>
            </w:r>
            <w:r>
              <w:rPr>
                <w:rFonts w:ascii="Arial Narrow Italic" w:hAnsi="Arial Narrow Italic"/>
                <w:sz w:val="20"/>
              </w:rPr>
              <w:t xml:space="preserve">SEE also “Standard of </w:t>
            </w:r>
            <w:r>
              <w:rPr>
                <w:rFonts w:ascii="Arial Narrow Italic" w:hAnsi="Arial Narrow Italic"/>
                <w:sz w:val="20"/>
              </w:rPr>
              <w:lastRenderedPageBreak/>
              <w:t>review”</w:t>
            </w:r>
          </w:p>
        </w:tc>
        <w:tc>
          <w:tcPr>
            <w:tcW w:w="510" w:type="dxa"/>
            <w:vAlign w:val="center"/>
          </w:tcPr>
          <w:p w14:paraId="34B183E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191F36A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C582C2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40CF6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JR – substantive review – no remittance to tribunal where result “inevitable” – </w:t>
            </w:r>
            <w:r>
              <w:rPr>
                <w:rFonts w:ascii="Arial Narrow Italic" w:hAnsi="Arial Narrow Italic"/>
                <w:sz w:val="20"/>
              </w:rPr>
              <w:t xml:space="preserve">BC (Workers’ Comp. Board)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Figliola</w:t>
            </w:r>
            <w:proofErr w:type="spellEnd"/>
          </w:p>
        </w:tc>
        <w:tc>
          <w:tcPr>
            <w:tcW w:w="510" w:type="dxa"/>
            <w:vAlign w:val="center"/>
          </w:tcPr>
          <w:p w14:paraId="7162461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228A5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5F8CA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A23B2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– JR – relief available (s. 2)</w:t>
            </w:r>
          </w:p>
        </w:tc>
        <w:tc>
          <w:tcPr>
            <w:tcW w:w="510" w:type="dxa"/>
            <w:vAlign w:val="center"/>
          </w:tcPr>
          <w:p w14:paraId="03C3BAA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06DC8C2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A82D15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83E58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Judicial Review </w:t>
            </w:r>
            <w:r>
              <w:rPr>
                <w:rFonts w:ascii="Arial Narrow" w:hAnsi="Arial Narrow"/>
                <w:sz w:val="20"/>
              </w:rPr>
              <w:t>– Aboriginal – Aboriginal applicants</w:t>
            </w:r>
          </w:p>
        </w:tc>
        <w:tc>
          <w:tcPr>
            <w:tcW w:w="510" w:type="dxa"/>
            <w:vAlign w:val="center"/>
          </w:tcPr>
          <w:p w14:paraId="130A2D7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087FD10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27898B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A68B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Aboriginal – JR of band council decisions – jurisdiction (generally federal)</w:t>
            </w:r>
          </w:p>
        </w:tc>
        <w:tc>
          <w:tcPr>
            <w:tcW w:w="510" w:type="dxa"/>
            <w:vAlign w:val="center"/>
          </w:tcPr>
          <w:p w14:paraId="4B4CB3C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427" w:type="dxa"/>
            <w:vAlign w:val="center"/>
          </w:tcPr>
          <w:p w14:paraId="5899770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5F2288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88904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Aboriginal – JR of band council decisions – statutory powers delegated by province</w:t>
            </w:r>
          </w:p>
        </w:tc>
        <w:tc>
          <w:tcPr>
            <w:tcW w:w="510" w:type="dxa"/>
            <w:vAlign w:val="center"/>
          </w:tcPr>
          <w:p w14:paraId="0D1308A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567</w:t>
            </w:r>
          </w:p>
        </w:tc>
        <w:tc>
          <w:tcPr>
            <w:tcW w:w="427" w:type="dxa"/>
            <w:vAlign w:val="center"/>
          </w:tcPr>
          <w:p w14:paraId="2E3F858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AE666F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092AB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admissibility of evidence</w:t>
            </w:r>
          </w:p>
        </w:tc>
        <w:tc>
          <w:tcPr>
            <w:tcW w:w="510" w:type="dxa"/>
            <w:vAlign w:val="center"/>
          </w:tcPr>
          <w:p w14:paraId="68B7A0D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67A332F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81BA4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0A32D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availability of</w:t>
            </w:r>
          </w:p>
        </w:tc>
        <w:tc>
          <w:tcPr>
            <w:tcW w:w="510" w:type="dxa"/>
            <w:vAlign w:val="center"/>
          </w:tcPr>
          <w:p w14:paraId="464DDCE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341FEED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94F11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91D4C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civil remedies against public authorities</w:t>
            </w:r>
          </w:p>
        </w:tc>
        <w:tc>
          <w:tcPr>
            <w:tcW w:w="510" w:type="dxa"/>
            <w:vAlign w:val="center"/>
          </w:tcPr>
          <w:p w14:paraId="609C021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5C08667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69A34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61753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constitutional questions – notice requirement to AG</w:t>
            </w:r>
          </w:p>
        </w:tc>
        <w:tc>
          <w:tcPr>
            <w:tcW w:w="510" w:type="dxa"/>
            <w:vAlign w:val="center"/>
          </w:tcPr>
          <w:p w14:paraId="2ADB7A4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40EEDCD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357258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E6F9D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declarations re: constitutionality – ON Sup Court vs. Federal Courts</w:t>
            </w:r>
          </w:p>
        </w:tc>
        <w:tc>
          <w:tcPr>
            <w:tcW w:w="510" w:type="dxa"/>
            <w:vAlign w:val="center"/>
          </w:tcPr>
          <w:p w14:paraId="2C0AFD7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3CAA10E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947A7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1470A4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difference between JR and appeal</w:t>
            </w:r>
          </w:p>
        </w:tc>
        <w:tc>
          <w:tcPr>
            <w:tcW w:w="510" w:type="dxa"/>
            <w:vAlign w:val="center"/>
          </w:tcPr>
          <w:p w14:paraId="3D61162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509C05B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F165BE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2A6B5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discretionary bars – examples where courts may refuse to exercise discretion</w:t>
            </w:r>
          </w:p>
        </w:tc>
        <w:tc>
          <w:tcPr>
            <w:tcW w:w="510" w:type="dxa"/>
            <w:vAlign w:val="center"/>
          </w:tcPr>
          <w:p w14:paraId="7165A39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63423C7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3150CE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D069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discretionary bars – statutory right of appeal exists – provincial (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2) vs. federal (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18.5)</w:t>
            </w:r>
          </w:p>
        </w:tc>
        <w:tc>
          <w:tcPr>
            <w:tcW w:w="510" w:type="dxa"/>
            <w:vAlign w:val="center"/>
          </w:tcPr>
          <w:p w14:paraId="3159657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4D975E9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351EED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9C639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Judicial Review – federal admin action</w:t>
            </w:r>
          </w:p>
        </w:tc>
        <w:tc>
          <w:tcPr>
            <w:tcW w:w="510" w:type="dxa"/>
            <w:vAlign w:val="center"/>
          </w:tcPr>
          <w:p w14:paraId="1FA56CC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2849D3E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D7C38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44D6B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appealing decisions of Federal Court to Federal Court of Appeal and SCC</w:t>
            </w:r>
          </w:p>
        </w:tc>
        <w:tc>
          <w:tcPr>
            <w:tcW w:w="510" w:type="dxa"/>
            <w:vAlign w:val="center"/>
          </w:tcPr>
          <w:p w14:paraId="10ED38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77A3AEF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A2A4C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8DDA2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extending timing for JR application – factors</w:t>
            </w:r>
          </w:p>
        </w:tc>
        <w:tc>
          <w:tcPr>
            <w:tcW w:w="510" w:type="dxa"/>
            <w:vAlign w:val="center"/>
          </w:tcPr>
          <w:p w14:paraId="39F7169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572A3B1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9124C2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B684B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Federal Courts – exclusive jurisdiction</w:t>
            </w:r>
          </w:p>
        </w:tc>
        <w:tc>
          <w:tcPr>
            <w:tcW w:w="510" w:type="dxa"/>
            <w:vAlign w:val="center"/>
          </w:tcPr>
          <w:p w14:paraId="5C0E69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2FF8DBB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86DBB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E006F5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jurisdiction – Federal Court vs. Federal Court of Appeal</w:t>
            </w:r>
          </w:p>
        </w:tc>
        <w:tc>
          <w:tcPr>
            <w:tcW w:w="510" w:type="dxa"/>
            <w:vAlign w:val="center"/>
          </w:tcPr>
          <w:p w14:paraId="01BC9AD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3B8D57C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9CCF6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CD428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parties and rule of tribunal counsel</w:t>
            </w:r>
          </w:p>
        </w:tc>
        <w:tc>
          <w:tcPr>
            <w:tcW w:w="510" w:type="dxa"/>
            <w:vAlign w:val="center"/>
          </w:tcPr>
          <w:p w14:paraId="317E6A8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59C9479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0C6193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1D3DF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procedure</w:t>
            </w:r>
          </w:p>
        </w:tc>
        <w:tc>
          <w:tcPr>
            <w:tcW w:w="510" w:type="dxa"/>
            <w:vAlign w:val="center"/>
          </w:tcPr>
          <w:p w14:paraId="67E0477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564</w:t>
            </w:r>
          </w:p>
        </w:tc>
        <w:tc>
          <w:tcPr>
            <w:tcW w:w="427" w:type="dxa"/>
            <w:vAlign w:val="center"/>
          </w:tcPr>
          <w:p w14:paraId="222356CF" w14:textId="77777777" w:rsidR="00A72EAE" w:rsidRPr="001317EF" w:rsidRDefault="00A72EAE" w:rsidP="00791222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BF6220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C240E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procedure – extending deadlines</w:t>
            </w:r>
          </w:p>
        </w:tc>
        <w:tc>
          <w:tcPr>
            <w:tcW w:w="510" w:type="dxa"/>
            <w:vAlign w:val="center"/>
          </w:tcPr>
          <w:p w14:paraId="5940A34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564</w:t>
            </w:r>
          </w:p>
        </w:tc>
        <w:tc>
          <w:tcPr>
            <w:tcW w:w="427" w:type="dxa"/>
            <w:vAlign w:val="center"/>
          </w:tcPr>
          <w:p w14:paraId="1FC5A27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56219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84DB0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federal admin action – timing of JR application (generally, 30 days)</w:t>
            </w:r>
          </w:p>
        </w:tc>
        <w:tc>
          <w:tcPr>
            <w:tcW w:w="510" w:type="dxa"/>
            <w:vAlign w:val="center"/>
          </w:tcPr>
          <w:p w14:paraId="7FD3B66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780A120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06AF5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89069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Federal Courts – jurisdiction to issue prerogative writs and grant equitable </w:t>
            </w:r>
            <w:r>
              <w:rPr>
                <w:rFonts w:ascii="Arial Narrow" w:hAnsi="Arial Narrow"/>
                <w:sz w:val="20"/>
              </w:rPr>
              <w:lastRenderedPageBreak/>
              <w:t>remedies</w:t>
            </w:r>
          </w:p>
        </w:tc>
        <w:tc>
          <w:tcPr>
            <w:tcW w:w="510" w:type="dxa"/>
            <w:vAlign w:val="center"/>
          </w:tcPr>
          <w:p w14:paraId="16CEADD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556</w:t>
            </w:r>
          </w:p>
        </w:tc>
        <w:tc>
          <w:tcPr>
            <w:tcW w:w="427" w:type="dxa"/>
            <w:vAlign w:val="center"/>
          </w:tcPr>
          <w:p w14:paraId="11F0DD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82403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49351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Judicial Review – grounds of review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18.1(4),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2</w:t>
            </w:r>
          </w:p>
        </w:tc>
        <w:tc>
          <w:tcPr>
            <w:tcW w:w="510" w:type="dxa"/>
            <w:vAlign w:val="center"/>
          </w:tcPr>
          <w:p w14:paraId="4D85B27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1D1CE25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CF0B5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9F060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interim relief, incl. stay of proceedings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27B5F8D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0B18AEA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1755D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71B23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jurisdiction – Federal Court vs. Federal Court of Appeal</w:t>
            </w:r>
          </w:p>
        </w:tc>
        <w:tc>
          <w:tcPr>
            <w:tcW w:w="510" w:type="dxa"/>
            <w:vAlign w:val="center"/>
          </w:tcPr>
          <w:p w14:paraId="29CFF46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563</w:t>
            </w:r>
          </w:p>
        </w:tc>
        <w:tc>
          <w:tcPr>
            <w:tcW w:w="427" w:type="dxa"/>
            <w:vAlign w:val="center"/>
          </w:tcPr>
          <w:p w14:paraId="29E0D5C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84AEDA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8B126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jurisdiction of Federal Courts vs. provincial courts</w:t>
            </w:r>
          </w:p>
        </w:tc>
        <w:tc>
          <w:tcPr>
            <w:tcW w:w="510" w:type="dxa"/>
            <w:vAlign w:val="center"/>
          </w:tcPr>
          <w:p w14:paraId="384E931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396D11A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84418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8C5CD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jurisdiction to issue prerogative writs</w:t>
            </w:r>
          </w:p>
        </w:tc>
        <w:tc>
          <w:tcPr>
            <w:tcW w:w="510" w:type="dxa"/>
            <w:vAlign w:val="center"/>
          </w:tcPr>
          <w:p w14:paraId="6CD3566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02A6E8F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BAE46E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5CBAF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notice of application – must indicate all errors in tribunal decision</w:t>
            </w:r>
          </w:p>
        </w:tc>
        <w:tc>
          <w:tcPr>
            <w:tcW w:w="510" w:type="dxa"/>
            <w:vAlign w:val="center"/>
          </w:tcPr>
          <w:p w14:paraId="4B7E793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4DFC1B4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6EC71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E3184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Privacy Commissioner – “admin investigator” not adjudicator</w:t>
            </w:r>
          </w:p>
        </w:tc>
        <w:tc>
          <w:tcPr>
            <w:tcW w:w="510" w:type="dxa"/>
            <w:vAlign w:val="center"/>
          </w:tcPr>
          <w:p w14:paraId="6E267DF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55BBF6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D5A01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BCD6A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Privacy Commissioner – subject to judicial review under </w:t>
            </w:r>
            <w:r>
              <w:rPr>
                <w:rFonts w:ascii="Arial Narrow Italic" w:hAnsi="Arial Narrow Italic"/>
                <w:sz w:val="20"/>
              </w:rPr>
              <w:t>FCA</w:t>
            </w:r>
          </w:p>
        </w:tc>
        <w:tc>
          <w:tcPr>
            <w:tcW w:w="510" w:type="dxa"/>
            <w:vAlign w:val="center"/>
          </w:tcPr>
          <w:p w14:paraId="0283B27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1161508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14FA4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06511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privacy legislation</w:t>
            </w:r>
          </w:p>
        </w:tc>
        <w:tc>
          <w:tcPr>
            <w:tcW w:w="510" w:type="dxa"/>
            <w:vAlign w:val="center"/>
          </w:tcPr>
          <w:p w14:paraId="4A61454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10ABACE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E6B8F3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D23FE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Judicial Review – provincial admin action</w:t>
            </w:r>
            <w:r>
              <w:rPr>
                <w:rFonts w:ascii="Arial Narrow" w:hAnsi="Arial Narrow"/>
                <w:sz w:val="20"/>
              </w:rPr>
              <w:t xml:space="preserve"> – appeals to ONCA</w:t>
            </w:r>
          </w:p>
        </w:tc>
        <w:tc>
          <w:tcPr>
            <w:tcW w:w="510" w:type="dxa"/>
            <w:vAlign w:val="center"/>
          </w:tcPr>
          <w:p w14:paraId="0CEA26AF" w14:textId="77777777" w:rsidR="00A72EAE" w:rsidRDefault="00A72EAE" w:rsidP="007A6A19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0DDAD00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E7D9D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60D47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provincial admin action – composition of the Divisional Court</w:t>
            </w:r>
          </w:p>
        </w:tc>
        <w:tc>
          <w:tcPr>
            <w:tcW w:w="510" w:type="dxa"/>
            <w:vAlign w:val="center"/>
          </w:tcPr>
          <w:p w14:paraId="60C3C3A1" w14:textId="77777777" w:rsidR="00A72EAE" w:rsidRDefault="00A72EAE" w:rsidP="0037710C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5134CEA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FF871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9D07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provincial admin action – parties and role of tribunal counsel</w:t>
            </w:r>
          </w:p>
        </w:tc>
        <w:tc>
          <w:tcPr>
            <w:tcW w:w="510" w:type="dxa"/>
            <w:vAlign w:val="center"/>
          </w:tcPr>
          <w:p w14:paraId="313FAB0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729096D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646B9E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15042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provincial admin action – procedure</w:t>
            </w:r>
          </w:p>
        </w:tc>
        <w:tc>
          <w:tcPr>
            <w:tcW w:w="510" w:type="dxa"/>
            <w:vAlign w:val="center"/>
          </w:tcPr>
          <w:p w14:paraId="664DAB4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4CB1A65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07AB13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57E25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provincial admin action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application</w:t>
            </w:r>
          </w:p>
        </w:tc>
        <w:tc>
          <w:tcPr>
            <w:tcW w:w="510" w:type="dxa"/>
            <w:vAlign w:val="center"/>
          </w:tcPr>
          <w:p w14:paraId="3093C9C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30B08F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819F9A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ED97C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provincial admin action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SEE also SPPA</w:t>
            </w:r>
          </w:p>
        </w:tc>
        <w:tc>
          <w:tcPr>
            <w:tcW w:w="510" w:type="dxa"/>
            <w:vAlign w:val="center"/>
          </w:tcPr>
          <w:p w14:paraId="1EE4460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565</w:t>
            </w:r>
          </w:p>
        </w:tc>
        <w:tc>
          <w:tcPr>
            <w:tcW w:w="427" w:type="dxa"/>
            <w:vAlign w:val="center"/>
          </w:tcPr>
          <w:p w14:paraId="365F10F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8F43D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8BE23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purpose and definition</w:t>
            </w:r>
          </w:p>
        </w:tc>
        <w:tc>
          <w:tcPr>
            <w:tcW w:w="510" w:type="dxa"/>
            <w:vAlign w:val="center"/>
          </w:tcPr>
          <w:p w14:paraId="6C727B19" w14:textId="77777777" w:rsidR="00A72EAE" w:rsidRDefault="00A72EAE" w:rsidP="00472DC1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7EE9587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20ED0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F4AB1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Judicial Review – relief available</w:t>
            </w:r>
          </w:p>
        </w:tc>
        <w:tc>
          <w:tcPr>
            <w:tcW w:w="510" w:type="dxa"/>
            <w:vAlign w:val="center"/>
          </w:tcPr>
          <w:p w14:paraId="41541FE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535850C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AF42EC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3187C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relief available – costs between parties</w:t>
            </w:r>
          </w:p>
        </w:tc>
        <w:tc>
          <w:tcPr>
            <w:tcW w:w="510" w:type="dxa"/>
            <w:vAlign w:val="center"/>
          </w:tcPr>
          <w:p w14:paraId="173372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2BC6213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4340D5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B3DAF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relief available – damages not available</w:t>
            </w:r>
          </w:p>
        </w:tc>
        <w:tc>
          <w:tcPr>
            <w:tcW w:w="510" w:type="dxa"/>
            <w:vAlign w:val="center"/>
          </w:tcPr>
          <w:p w14:paraId="72E5136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5926E53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CB4452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F018A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relief available – interim relief, incl. stay of proceedings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64EE569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267BF6B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F3F050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CE13B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relief available – only against tribunal</w:t>
            </w:r>
          </w:p>
        </w:tc>
        <w:tc>
          <w:tcPr>
            <w:tcW w:w="510" w:type="dxa"/>
            <w:vAlign w:val="center"/>
          </w:tcPr>
          <w:p w14:paraId="3ED6CA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51149F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F148C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B061B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Judicial Review – standing </w:t>
            </w:r>
          </w:p>
        </w:tc>
        <w:tc>
          <w:tcPr>
            <w:tcW w:w="510" w:type="dxa"/>
            <w:vAlign w:val="center"/>
          </w:tcPr>
          <w:p w14:paraId="3CA2701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3EB319C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C0C433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80DCF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standing – aggrieved person – Common Law</w:t>
            </w:r>
          </w:p>
        </w:tc>
        <w:tc>
          <w:tcPr>
            <w:tcW w:w="510" w:type="dxa"/>
            <w:vAlign w:val="center"/>
          </w:tcPr>
          <w:p w14:paraId="30A8F8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5D58A05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B71EBC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7B300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standing – discretionary </w:t>
            </w:r>
          </w:p>
        </w:tc>
        <w:tc>
          <w:tcPr>
            <w:tcW w:w="510" w:type="dxa"/>
            <w:vAlign w:val="center"/>
          </w:tcPr>
          <w:p w14:paraId="29EE6C5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3ABEF9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1F305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6F46E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standing – public interest standing </w:t>
            </w:r>
          </w:p>
        </w:tc>
        <w:tc>
          <w:tcPr>
            <w:tcW w:w="510" w:type="dxa"/>
            <w:vAlign w:val="center"/>
          </w:tcPr>
          <w:p w14:paraId="0400C1D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2C18795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1589DD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166BE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– venues – Federal Courts and </w:t>
            </w:r>
            <w:r>
              <w:rPr>
                <w:rFonts w:ascii="Arial Narrow" w:hAnsi="Arial Narrow"/>
                <w:sz w:val="20"/>
              </w:rPr>
              <w:lastRenderedPageBreak/>
              <w:t xml:space="preserve">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</w:t>
            </w:r>
          </w:p>
        </w:tc>
        <w:tc>
          <w:tcPr>
            <w:tcW w:w="510" w:type="dxa"/>
            <w:vAlign w:val="center"/>
          </w:tcPr>
          <w:p w14:paraId="2E36CAD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070FB9D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EAF9CA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ABC7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Judicial Review – when ON Superior Court can review acts of federal bodies</w:t>
            </w:r>
          </w:p>
        </w:tc>
        <w:tc>
          <w:tcPr>
            <w:tcW w:w="510" w:type="dxa"/>
            <w:vAlign w:val="center"/>
          </w:tcPr>
          <w:p w14:paraId="3C1057A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59FFA02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D49717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19C4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 Review on federalism grounds – </w:t>
            </w:r>
            <w:r>
              <w:rPr>
                <w:rFonts w:ascii="Arial Narrow Italic" w:hAnsi="Arial Narrow Italic"/>
                <w:sz w:val="20"/>
              </w:rPr>
              <w:t>SEE “Division of powers”</w:t>
            </w:r>
          </w:p>
        </w:tc>
        <w:tc>
          <w:tcPr>
            <w:tcW w:w="510" w:type="dxa"/>
            <w:vAlign w:val="center"/>
          </w:tcPr>
          <w:p w14:paraId="6193684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F14D55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A88AA8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932D5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Judicial Review Procedure Act (JRPA)</w:t>
            </w:r>
            <w:r>
              <w:rPr>
                <w:rFonts w:ascii="Arial Narrow" w:hAnsi="Arial Narrow"/>
                <w:sz w:val="20"/>
              </w:rPr>
              <w:t xml:space="preserve"> – Ontario</w:t>
            </w:r>
          </w:p>
        </w:tc>
        <w:tc>
          <w:tcPr>
            <w:tcW w:w="510" w:type="dxa"/>
            <w:vAlign w:val="center"/>
          </w:tcPr>
          <w:p w14:paraId="0A400C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5632EB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4DEE68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8031D5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Judicial/quasi-judicial DM vs. admin/executive – factors – </w:t>
            </w:r>
            <w:r>
              <w:rPr>
                <w:rFonts w:ascii="Arial Narrow Italic" w:hAnsi="Arial Narrow Italic"/>
                <w:sz w:val="20"/>
              </w:rPr>
              <w:t>Minister of National Revenue v. Coopers and Lybrand</w:t>
            </w:r>
          </w:p>
        </w:tc>
        <w:tc>
          <w:tcPr>
            <w:tcW w:w="510" w:type="dxa"/>
            <w:vAlign w:val="center"/>
          </w:tcPr>
          <w:p w14:paraId="5A88744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3FE1CF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1F3FD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3DCA4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Jurisdiction – of courts to review admin action – Federal Courts vs. provincial courts</w:t>
            </w:r>
          </w:p>
        </w:tc>
        <w:tc>
          <w:tcPr>
            <w:tcW w:w="510" w:type="dxa"/>
            <w:vAlign w:val="center"/>
          </w:tcPr>
          <w:p w14:paraId="0B855FA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16B3786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A51774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FE00F71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K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1BD25B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05C91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38B9441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58CB1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Kapp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(R. v.)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</w:t>
            </w:r>
          </w:p>
        </w:tc>
        <w:tc>
          <w:tcPr>
            <w:tcW w:w="510" w:type="dxa"/>
            <w:vAlign w:val="center"/>
          </w:tcPr>
          <w:p w14:paraId="7374CA7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6288E4A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CCBE1D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75391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Kirbi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AG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Ritvik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Holdings </w:t>
            </w:r>
            <w:r>
              <w:rPr>
                <w:rFonts w:ascii="Arial Narrow" w:hAnsi="Arial Narrow"/>
                <w:sz w:val="20"/>
              </w:rPr>
              <w:t>– division of powers – example of ancillary powers doctrine in operation</w:t>
            </w:r>
          </w:p>
        </w:tc>
        <w:tc>
          <w:tcPr>
            <w:tcW w:w="510" w:type="dxa"/>
            <w:vAlign w:val="center"/>
          </w:tcPr>
          <w:p w14:paraId="4A1CC77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4D1C96A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8FBDED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A34A1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Knight v. Indian Head School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Division </w:t>
            </w:r>
            <w:r>
              <w:rPr>
                <w:rFonts w:ascii="Arial Narrow" w:hAnsi="Arial Narrow"/>
                <w:sz w:val="20"/>
              </w:rPr>
              <w:t>– fairness (duty of) – courts reluctant to intervene if procedural elements present</w:t>
            </w:r>
          </w:p>
        </w:tc>
        <w:tc>
          <w:tcPr>
            <w:tcW w:w="510" w:type="dxa"/>
            <w:vAlign w:val="center"/>
          </w:tcPr>
          <w:p w14:paraId="575E70E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5D1D52B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77AC4022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1A0070B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L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33AE1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4FA0C0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0912B1A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253F2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Language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16-23 – </w:t>
            </w:r>
            <w:r>
              <w:rPr>
                <w:rFonts w:ascii="Arial Narrow Italic" w:hAnsi="Arial Narrow Italic"/>
                <w:sz w:val="20"/>
              </w:rPr>
              <w:t>SEE also “Charter – language rights”</w:t>
            </w:r>
          </w:p>
        </w:tc>
        <w:tc>
          <w:tcPr>
            <w:tcW w:w="510" w:type="dxa"/>
            <w:vAlign w:val="center"/>
          </w:tcPr>
          <w:p w14:paraId="7DF49D1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2C3BB16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09246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358A8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Lavigne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</w:t>
            </w:r>
            <w:r>
              <w:rPr>
                <w:rFonts w:ascii="Arial Narrow" w:hAnsi="Arial Narrow"/>
                <w:sz w:val="20"/>
              </w:rPr>
              <w:t xml:space="preserve"> – purpose of privacy legislation</w:t>
            </w:r>
          </w:p>
        </w:tc>
        <w:tc>
          <w:tcPr>
            <w:tcW w:w="510" w:type="dxa"/>
            <w:vAlign w:val="center"/>
          </w:tcPr>
          <w:p w14:paraId="7A109F2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AB799C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03EDB5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98F84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Law Society of BC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Mangat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division of powers – </w:t>
            </w: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</w:p>
        </w:tc>
        <w:tc>
          <w:tcPr>
            <w:tcW w:w="510" w:type="dxa"/>
            <w:vAlign w:val="center"/>
          </w:tcPr>
          <w:p w14:paraId="55791CD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580</w:t>
            </w:r>
          </w:p>
        </w:tc>
        <w:tc>
          <w:tcPr>
            <w:tcW w:w="427" w:type="dxa"/>
            <w:vAlign w:val="center"/>
          </w:tcPr>
          <w:p w14:paraId="22548A0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CC64C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70B0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Law v. Canada – </w:t>
            </w:r>
            <w:r>
              <w:rPr>
                <w:rFonts w:ascii="Arial Narrow" w:hAnsi="Arial Narrow"/>
                <w:sz w:val="20"/>
              </w:rPr>
              <w:t xml:space="preserve">analysis under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</w:t>
            </w:r>
            <w:r>
              <w:rPr>
                <w:rFonts w:ascii="Arial Narrow Italic" w:hAnsi="Arial Narrow Italic"/>
                <w:sz w:val="20"/>
              </w:rPr>
              <w:t xml:space="preserve">– </w:t>
            </w:r>
            <w:r>
              <w:rPr>
                <w:rFonts w:ascii="Arial Narrow" w:hAnsi="Arial Narrow"/>
                <w:sz w:val="20"/>
              </w:rPr>
              <w:t>equality</w:t>
            </w:r>
          </w:p>
        </w:tc>
        <w:tc>
          <w:tcPr>
            <w:tcW w:w="510" w:type="dxa"/>
            <w:vAlign w:val="center"/>
          </w:tcPr>
          <w:p w14:paraId="4C3F7F2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3AFD26C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368DA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6191A6" w14:textId="77777777" w:rsidR="00A72EAE" w:rsidRPr="00DE2D5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Legal Aid Services Act, 1998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001D8D3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08BF067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0E8265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89C69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Legislative facts – vs. adjudicative facts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context</w:t>
            </w:r>
          </w:p>
        </w:tc>
        <w:tc>
          <w:tcPr>
            <w:tcW w:w="510" w:type="dxa"/>
            <w:vAlign w:val="center"/>
          </w:tcPr>
          <w:p w14:paraId="2894A1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690E33D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3BB9F5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14E98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Life, liberty and security of the person – </w:t>
            </w:r>
            <w:r>
              <w:rPr>
                <w:rFonts w:ascii="Arial Narrow Italic" w:hAnsi="Arial Narrow Italic"/>
                <w:sz w:val="20"/>
              </w:rPr>
              <w:t>SEE also “Charter – LLSP”</w:t>
            </w:r>
          </w:p>
        </w:tc>
        <w:tc>
          <w:tcPr>
            <w:tcW w:w="510" w:type="dxa"/>
            <w:vAlign w:val="center"/>
          </w:tcPr>
          <w:p w14:paraId="4E4F797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59F2D3F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9584A7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DCFEA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Limitation periods – constitutional litigation – Federal Court</w:t>
            </w:r>
          </w:p>
        </w:tc>
        <w:tc>
          <w:tcPr>
            <w:tcW w:w="510" w:type="dxa"/>
            <w:vAlign w:val="center"/>
          </w:tcPr>
          <w:p w14:paraId="3C217CD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6BC03FB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7C55D7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2E412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Limitation periods – constitutional litigation – superior courts </w:t>
            </w:r>
          </w:p>
        </w:tc>
        <w:tc>
          <w:tcPr>
            <w:tcW w:w="510" w:type="dxa"/>
            <w:vAlign w:val="center"/>
          </w:tcPr>
          <w:p w14:paraId="1886414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7183C91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95703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9F018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SEE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Beckman v. Little Salmon/</w:t>
            </w:r>
            <w:proofErr w:type="spellStart"/>
            <w:r>
              <w:rPr>
                <w:rFonts w:ascii="Arial Narrow Italic" w:hAnsi="Arial Narrow Italic"/>
                <w:sz w:val="20"/>
              </w:rPr>
              <w:t>Carmacks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FN </w:t>
            </w:r>
          </w:p>
        </w:tc>
        <w:tc>
          <w:tcPr>
            <w:tcW w:w="510" w:type="dxa"/>
            <w:vAlign w:val="center"/>
          </w:tcPr>
          <w:p w14:paraId="040AA8C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27FABDF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A33F89C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7A21A9A4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M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875DFA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D12EDA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5FDF175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D5437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 v. H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under s. 52 – severance – unmarried same-sex spouses </w:t>
            </w:r>
          </w:p>
        </w:tc>
        <w:tc>
          <w:tcPr>
            <w:tcW w:w="510" w:type="dxa"/>
            <w:vAlign w:val="center"/>
          </w:tcPr>
          <w:p w14:paraId="6E8977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2AB0E8C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A1EB3E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8F913E" w14:textId="77777777" w:rsidR="00A72EAE" w:rsidRPr="00637570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 v. H</w:t>
            </w:r>
            <w:r>
              <w:rPr>
                <w:rFonts w:ascii="Arial Narrow" w:hAnsi="Arial Narrow"/>
                <w:sz w:val="20"/>
              </w:rPr>
              <w:t xml:space="preserve"> – proving a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claim – providing social science evidence with Brandeis brief </w:t>
            </w:r>
          </w:p>
        </w:tc>
        <w:tc>
          <w:tcPr>
            <w:tcW w:w="510" w:type="dxa"/>
            <w:vAlign w:val="center"/>
          </w:tcPr>
          <w:p w14:paraId="7AC3BE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589</w:t>
            </w:r>
          </w:p>
        </w:tc>
        <w:tc>
          <w:tcPr>
            <w:tcW w:w="427" w:type="dxa"/>
            <w:vAlign w:val="center"/>
          </w:tcPr>
          <w:p w14:paraId="4263CF9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F9EE2C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E7C68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 w:rsidRPr="00065DAE">
              <w:rPr>
                <w:rFonts w:ascii="Arial Narrow" w:hAnsi="Arial Narrow"/>
                <w:i/>
                <w:sz w:val="20"/>
              </w:rPr>
              <w:t>Malmo-Levine (R. v.)</w:t>
            </w:r>
            <w:r>
              <w:rPr>
                <w:rFonts w:ascii="Arial Narrow" w:hAnsi="Arial Narrow"/>
                <w:sz w:val="20"/>
              </w:rPr>
              <w:t xml:space="preserve"> – principles of fundamental justice – Charter s. 7</w:t>
            </w:r>
          </w:p>
        </w:tc>
        <w:tc>
          <w:tcPr>
            <w:tcW w:w="510" w:type="dxa"/>
            <w:vAlign w:val="center"/>
          </w:tcPr>
          <w:p w14:paraId="14B7482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56582C0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D8E6F6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6F20B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Mandamus</w:t>
            </w:r>
            <w:r>
              <w:rPr>
                <w:rFonts w:ascii="Arial Narrow" w:hAnsi="Arial Narrow"/>
                <w:sz w:val="20"/>
              </w:rPr>
              <w:t xml:space="preserve"> – JR – relief available – prerogative</w:t>
            </w:r>
          </w:p>
        </w:tc>
        <w:tc>
          <w:tcPr>
            <w:tcW w:w="510" w:type="dxa"/>
            <w:vAlign w:val="center"/>
          </w:tcPr>
          <w:p w14:paraId="0B471B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559</w:t>
            </w:r>
          </w:p>
        </w:tc>
        <w:tc>
          <w:tcPr>
            <w:tcW w:w="427" w:type="dxa"/>
            <w:vAlign w:val="center"/>
          </w:tcPr>
          <w:p w14:paraId="41FD4D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332943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54DB9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lastRenderedPageBreak/>
              <w:t xml:space="preserve">Margarine Reference </w:t>
            </w:r>
            <w:r>
              <w:rPr>
                <w:rFonts w:ascii="Arial Narrow" w:hAnsi="Arial Narrow"/>
                <w:sz w:val="20"/>
              </w:rPr>
              <w:t>– division of powers – valid criminal law purpose</w:t>
            </w:r>
          </w:p>
        </w:tc>
        <w:tc>
          <w:tcPr>
            <w:tcW w:w="510" w:type="dxa"/>
            <w:vAlign w:val="center"/>
          </w:tcPr>
          <w:p w14:paraId="6E78545E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19497C4F" w14:textId="77777777" w:rsidR="00A72EAE" w:rsidRPr="00162B33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ED724D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66D516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Marshall (R. v.)</w:t>
            </w:r>
            <w:r>
              <w:rPr>
                <w:rFonts w:ascii="Arial Narrow" w:hAnsi="Arial Narrow"/>
                <w:sz w:val="20"/>
              </w:rPr>
              <w:t xml:space="preserve"> – interpretation of Aboriginal treaties – </w:t>
            </w:r>
            <w:r>
              <w:rPr>
                <w:rFonts w:ascii="Arial Narrow Italic" w:hAnsi="Arial Narrow Italic"/>
                <w:sz w:val="20"/>
              </w:rPr>
              <w:t>SEE “Aboriginal rights – treaty interpretation”</w:t>
            </w:r>
          </w:p>
        </w:tc>
        <w:tc>
          <w:tcPr>
            <w:tcW w:w="510" w:type="dxa"/>
            <w:vAlign w:val="center"/>
          </w:tcPr>
          <w:p w14:paraId="1AD7EE0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68D42D3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C6D7F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AD3D1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Martineau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Matsqui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no sharp distinction between natural justice and fairness</w:t>
            </w:r>
          </w:p>
        </w:tc>
        <w:tc>
          <w:tcPr>
            <w:tcW w:w="510" w:type="dxa"/>
            <w:vAlign w:val="center"/>
          </w:tcPr>
          <w:p w14:paraId="270DBEA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5556D21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C5B17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589C4A" w14:textId="77777777" w:rsidR="00A72EAE" w:rsidRPr="00E0311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May v. Ferndale </w:t>
            </w:r>
            <w:r>
              <w:rPr>
                <w:rFonts w:ascii="Arial Narrow" w:hAnsi="Arial Narrow"/>
                <w:sz w:val="20"/>
              </w:rPr>
              <w:t xml:space="preserve">– JR – relief available – </w:t>
            </w:r>
            <w:r>
              <w:rPr>
                <w:rFonts w:ascii="Arial Narrow" w:hAnsi="Arial Narrow"/>
                <w:i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prerogative</w:t>
            </w:r>
          </w:p>
        </w:tc>
        <w:tc>
          <w:tcPr>
            <w:tcW w:w="510" w:type="dxa"/>
            <w:vAlign w:val="center"/>
          </w:tcPr>
          <w:p w14:paraId="3B70902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68564C9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BA78C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37312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Métis claims – Aboriginal rights – </w:t>
            </w:r>
            <w:r>
              <w:rPr>
                <w:rFonts w:ascii="Arial Narrow Italic" w:hAnsi="Arial Narrow Italic"/>
                <w:sz w:val="20"/>
              </w:rPr>
              <w:t xml:space="preserve">R.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Powley</w:t>
            </w:r>
            <w:proofErr w:type="spellEnd"/>
          </w:p>
        </w:tc>
        <w:tc>
          <w:tcPr>
            <w:tcW w:w="510" w:type="dxa"/>
            <w:vAlign w:val="center"/>
          </w:tcPr>
          <w:p w14:paraId="68655AB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1356FFF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5BCC4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5C0A48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Mikisew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Cree FN v. Canada</w:t>
            </w:r>
            <w:r>
              <w:rPr>
                <w:rFonts w:ascii="Arial Narrow" w:hAnsi="Arial Narrow"/>
                <w:sz w:val="20"/>
              </w:rPr>
              <w:t xml:space="preserve"> – Aboriginal rights – duty to consult</w:t>
            </w:r>
          </w:p>
        </w:tc>
        <w:tc>
          <w:tcPr>
            <w:tcW w:w="510" w:type="dxa"/>
            <w:vAlign w:val="center"/>
          </w:tcPr>
          <w:p w14:paraId="3A739EB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009D832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8044A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D247C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Minister of National Revenue v. Coopers and Lybrand</w:t>
            </w:r>
            <w:r>
              <w:rPr>
                <w:rFonts w:ascii="Arial Narrow" w:hAnsi="Arial Narrow"/>
                <w:sz w:val="20"/>
              </w:rPr>
              <w:t xml:space="preserve"> – factors – classify as judicial/quasi-judicial DM </w:t>
            </w:r>
          </w:p>
        </w:tc>
        <w:tc>
          <w:tcPr>
            <w:tcW w:w="510" w:type="dxa"/>
            <w:vAlign w:val="center"/>
          </w:tcPr>
          <w:p w14:paraId="0F18EA0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49D5BEC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DEEF75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BC661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Motions – admin tribunals – considerations in deciding to bring a motion</w:t>
            </w:r>
          </w:p>
        </w:tc>
        <w:tc>
          <w:tcPr>
            <w:tcW w:w="510" w:type="dxa"/>
            <w:vAlign w:val="center"/>
          </w:tcPr>
          <w:p w14:paraId="21A5F02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75F9DF0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F6D6C4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93F45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Motions – admin tribunals – procedure</w:t>
            </w:r>
          </w:p>
        </w:tc>
        <w:tc>
          <w:tcPr>
            <w:tcW w:w="510" w:type="dxa"/>
            <w:vAlign w:val="center"/>
          </w:tcPr>
          <w:p w14:paraId="7E1078E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58FA251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8C12BD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DF848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Motions – admin tribunals vs. civil court</w:t>
            </w:r>
          </w:p>
        </w:tc>
        <w:tc>
          <w:tcPr>
            <w:tcW w:w="510" w:type="dxa"/>
            <w:vAlign w:val="center"/>
          </w:tcPr>
          <w:p w14:paraId="60EB493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D64A2A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E8FBE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BCFB3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Multani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Commission </w:t>
            </w:r>
            <w:proofErr w:type="spellStart"/>
            <w:r>
              <w:rPr>
                <w:rFonts w:ascii="Arial Narrow Italic" w:hAnsi="Arial Narrow Italic"/>
                <w:sz w:val="20"/>
              </w:rPr>
              <w:t>Scolaire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section 1 – minimal impairment </w:t>
            </w:r>
          </w:p>
        </w:tc>
        <w:tc>
          <w:tcPr>
            <w:tcW w:w="510" w:type="dxa"/>
            <w:vAlign w:val="center"/>
          </w:tcPr>
          <w:p w14:paraId="3DFECB8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72D272E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ED9E4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7D84CD" w14:textId="77777777" w:rsidR="00A72EAE" w:rsidRPr="004767A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Municipal Freedom of Information and Protection of Privacy Act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</w:rPr>
              <w:t>MFIPPA</w:t>
            </w:r>
            <w:r>
              <w:rPr>
                <w:rFonts w:ascii="Arial Narrow" w:hAnsi="Arial Narrow"/>
                <w:sz w:val="20"/>
              </w:rPr>
              <w:t xml:space="preserve">) – provincial – ON – </w:t>
            </w:r>
            <w:r>
              <w:rPr>
                <w:rFonts w:ascii="Arial Narrow" w:hAnsi="Arial Narrow"/>
                <w:i/>
                <w:sz w:val="20"/>
              </w:rPr>
              <w:t>SEE “Freedom of information”</w:t>
            </w:r>
          </w:p>
        </w:tc>
        <w:tc>
          <w:tcPr>
            <w:tcW w:w="510" w:type="dxa"/>
            <w:vAlign w:val="center"/>
          </w:tcPr>
          <w:p w14:paraId="595C88A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4DF298B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56D4B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818117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Municipalities – power delegated from provinces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0E623A8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577</w:t>
            </w:r>
          </w:p>
        </w:tc>
        <w:tc>
          <w:tcPr>
            <w:tcW w:w="427" w:type="dxa"/>
            <w:vAlign w:val="center"/>
          </w:tcPr>
          <w:p w14:paraId="696C070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0E0D900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E2C22C9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N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E3F67D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17F6F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000AD7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F172A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National emergency – authorizing Parliament to encroach on provincial powers – </w:t>
            </w:r>
            <w:r>
              <w:rPr>
                <w:rFonts w:ascii="Arial Narrow Italic" w:hAnsi="Arial Narrow Italic"/>
                <w:sz w:val="20"/>
              </w:rPr>
              <w:t>SEE “POGG”</w:t>
            </w:r>
          </w:p>
        </w:tc>
        <w:tc>
          <w:tcPr>
            <w:tcW w:w="510" w:type="dxa"/>
            <w:vAlign w:val="center"/>
          </w:tcPr>
          <w:p w14:paraId="65C907A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6C3673F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E3599F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EE493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Natural justice</w:t>
            </w:r>
            <w:r>
              <w:rPr>
                <w:rFonts w:ascii="Arial Narrow" w:hAnsi="Arial Narrow"/>
                <w:sz w:val="20"/>
              </w:rPr>
              <w:t xml:space="preserve"> – application of –</w:t>
            </w:r>
            <w:r>
              <w:rPr>
                <w:rFonts w:ascii="Arial Narrow Italic" w:hAnsi="Arial Narrow Italic"/>
                <w:sz w:val="20"/>
              </w:rPr>
              <w:t xml:space="preserve"> Minister of National Revenue v. Coopers and Lybrand </w:t>
            </w:r>
          </w:p>
        </w:tc>
        <w:tc>
          <w:tcPr>
            <w:tcW w:w="510" w:type="dxa"/>
            <w:vAlign w:val="center"/>
          </w:tcPr>
          <w:p w14:paraId="627AC73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1B38D44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94BFB4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5F71B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content of – two main components – right to be heard &amp; impartial DM</w:t>
            </w:r>
          </w:p>
        </w:tc>
        <w:tc>
          <w:tcPr>
            <w:tcW w:w="510" w:type="dxa"/>
            <w:vAlign w:val="center"/>
          </w:tcPr>
          <w:p w14:paraId="7D9A58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25333A3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A61D52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F2F92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duty of fairness – </w:t>
            </w:r>
            <w:r>
              <w:rPr>
                <w:rFonts w:ascii="Arial Narrow Italic" w:hAnsi="Arial Narrow Italic"/>
                <w:sz w:val="20"/>
              </w:rPr>
              <w:t>SEE “Fairness”</w:t>
            </w:r>
          </w:p>
        </w:tc>
        <w:tc>
          <w:tcPr>
            <w:tcW w:w="510" w:type="dxa"/>
            <w:vAlign w:val="center"/>
          </w:tcPr>
          <w:p w14:paraId="2E4E2A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07B809E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418C8D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3A8C3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reasonable apprehension of bias – test – </w:t>
            </w:r>
            <w:r>
              <w:rPr>
                <w:rFonts w:ascii="Arial Narrow Italic" w:hAnsi="Arial Narrow Italic"/>
                <w:sz w:val="20"/>
              </w:rPr>
              <w:t>Committee for Justice and Liberty</w:t>
            </w:r>
          </w:p>
        </w:tc>
        <w:tc>
          <w:tcPr>
            <w:tcW w:w="510" w:type="dxa"/>
            <w:vAlign w:val="center"/>
          </w:tcPr>
          <w:p w14:paraId="1F21CE0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6EEAD22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2CA7A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82B289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right to an impartial decision-maker – remedy – decision void</w:t>
            </w:r>
          </w:p>
        </w:tc>
        <w:tc>
          <w:tcPr>
            <w:tcW w:w="510" w:type="dxa"/>
            <w:vAlign w:val="center"/>
          </w:tcPr>
          <w:p w14:paraId="3AC0B90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0E87977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l</w:t>
            </w:r>
          </w:p>
        </w:tc>
      </w:tr>
      <w:tr w:rsidR="00A72EAE" w14:paraId="601B8C1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BB61C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right to an impartial decision-maker – </w:t>
            </w:r>
            <w:r>
              <w:rPr>
                <w:rFonts w:ascii="Arial Narrow Italic" w:hAnsi="Arial Narrow Italic"/>
                <w:sz w:val="20"/>
              </w:rPr>
              <w:t>SEE “Bias (natural justice)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2BA2244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065759C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F83D31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BDA510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right to be heard – “the case to meet”</w:t>
            </w:r>
          </w:p>
        </w:tc>
        <w:tc>
          <w:tcPr>
            <w:tcW w:w="510" w:type="dxa"/>
            <w:vAlign w:val="center"/>
          </w:tcPr>
          <w:p w14:paraId="2163715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7F00748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FE85A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45BDB3" w14:textId="77777777" w:rsidR="00A72EAE" w:rsidRPr="00775E7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Natural justice – right to be heard – adequate notice – “meaningful” – </w:t>
            </w:r>
            <w:r>
              <w:rPr>
                <w:rFonts w:ascii="Arial Narrow" w:hAnsi="Arial Narrow"/>
                <w:i/>
                <w:sz w:val="20"/>
              </w:rPr>
              <w:t>Central Ontario Coalition Concerning Hydro (Re)</w:t>
            </w:r>
          </w:p>
        </w:tc>
        <w:tc>
          <w:tcPr>
            <w:tcW w:w="510" w:type="dxa"/>
            <w:vAlign w:val="center"/>
          </w:tcPr>
          <w:p w14:paraId="018B332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543713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AA0126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F0568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Natural justice – right to be heard – form and conduct of hearing</w:t>
            </w:r>
          </w:p>
        </w:tc>
        <w:tc>
          <w:tcPr>
            <w:tcW w:w="510" w:type="dxa"/>
            <w:vAlign w:val="center"/>
          </w:tcPr>
          <w:p w14:paraId="7234034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506FC33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4A2B68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EDFC7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Nature of question – factor in determining standard of review – JR</w:t>
            </w:r>
          </w:p>
        </w:tc>
        <w:tc>
          <w:tcPr>
            <w:tcW w:w="510" w:type="dxa"/>
            <w:vAlign w:val="center"/>
          </w:tcPr>
          <w:p w14:paraId="59FA2F6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6DFA412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377957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425EB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Nicholson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Haldimand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-Norfolk (Re)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Baker</w:t>
            </w:r>
            <w:r>
              <w:rPr>
                <w:rFonts w:ascii="Arial Narrow" w:hAnsi="Arial Narrow"/>
                <w:sz w:val="20"/>
              </w:rPr>
              <w:t xml:space="preserve"> factors – importance of decision to individual’s employment</w:t>
            </w:r>
          </w:p>
        </w:tc>
        <w:tc>
          <w:tcPr>
            <w:tcW w:w="510" w:type="dxa"/>
            <w:vAlign w:val="center"/>
          </w:tcPr>
          <w:p w14:paraId="4A39943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1DF7B8C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010A5E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AE99E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Nicholson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Haldimand</w:t>
            </w:r>
            <w:proofErr w:type="spellEnd"/>
            <w:r>
              <w:rPr>
                <w:rFonts w:ascii="Arial Narrow Italic" w:hAnsi="Arial Narrow Italic"/>
                <w:sz w:val="20"/>
              </w:rPr>
              <w:t>-Norfolk Regional Board of Commissioners of Police (Re)</w:t>
            </w:r>
            <w:r>
              <w:rPr>
                <w:rFonts w:ascii="Arial Narrow" w:hAnsi="Arial Narrow"/>
                <w:sz w:val="20"/>
              </w:rPr>
              <w:t xml:space="preserve"> – fairness (duty of)</w:t>
            </w:r>
          </w:p>
        </w:tc>
        <w:tc>
          <w:tcPr>
            <w:tcW w:w="510" w:type="dxa"/>
            <w:vAlign w:val="center"/>
          </w:tcPr>
          <w:p w14:paraId="0E53F7C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46568A7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0016C7E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CCD77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 force or effect – s. 52 –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1E72E3A0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3893259D" w14:textId="77777777" w:rsidR="00A72EAE" w:rsidRPr="00C477C2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C387F5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FE915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Northern Telecom v. Communication Workers</w:t>
            </w:r>
            <w:r>
              <w:rPr>
                <w:rFonts w:ascii="Arial Narrow" w:hAnsi="Arial Narrow"/>
                <w:sz w:val="20"/>
              </w:rPr>
              <w:t xml:space="preserve"> – Federal Court lacks jurisdiction to hear direct constitutional challenges</w:t>
            </w:r>
          </w:p>
        </w:tc>
        <w:tc>
          <w:tcPr>
            <w:tcW w:w="510" w:type="dxa"/>
            <w:vAlign w:val="center"/>
          </w:tcPr>
          <w:p w14:paraId="351AED4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650DC48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38B426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7AE3A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Notice – right to be heard –</w:t>
            </w:r>
            <w:r>
              <w:rPr>
                <w:rFonts w:ascii="Arial Narrow Italic" w:hAnsi="Arial Narrow Italic"/>
                <w:sz w:val="20"/>
              </w:rPr>
              <w:t xml:space="preserve"> SEE “Natural justice”</w:t>
            </w:r>
          </w:p>
        </w:tc>
        <w:tc>
          <w:tcPr>
            <w:tcW w:w="510" w:type="dxa"/>
            <w:vAlign w:val="center"/>
          </w:tcPr>
          <w:p w14:paraId="4B7B975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5F68D39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9B1E7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7EE90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Notice of constitutional question </w:t>
            </w:r>
            <w:r>
              <w:rPr>
                <w:rFonts w:ascii="Arial Narrow" w:hAnsi="Arial Narrow"/>
                <w:sz w:val="20"/>
              </w:rPr>
              <w:t>– Aboriginal rights</w:t>
            </w:r>
          </w:p>
        </w:tc>
        <w:tc>
          <w:tcPr>
            <w:tcW w:w="510" w:type="dxa"/>
            <w:vAlign w:val="center"/>
          </w:tcPr>
          <w:p w14:paraId="3FBF285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237C115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68C86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14DD4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Notice of constitutional question – admin tribunals –</w:t>
            </w:r>
            <w:r>
              <w:rPr>
                <w:rFonts w:ascii="Arial Narrow Italic" w:hAnsi="Arial Narrow Italic"/>
                <w:sz w:val="20"/>
              </w:rPr>
              <w:t xml:space="preserve"> SEE also “Constitutional procedure – admin tribunals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607B05C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6A987FB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BC449C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DCFC5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importance of proving you have served notice</w:t>
            </w:r>
          </w:p>
        </w:tc>
        <w:tc>
          <w:tcPr>
            <w:tcW w:w="510" w:type="dxa"/>
            <w:vAlign w:val="center"/>
          </w:tcPr>
          <w:p w14:paraId="7DC9AF9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3D61CB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AA80E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4FA66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</w:t>
            </w:r>
            <w:r>
              <w:rPr>
                <w:rFonts w:ascii="Arial Narrow Italic" w:hAnsi="Arial Narrow Italic"/>
                <w:sz w:val="20"/>
              </w:rPr>
              <w:t xml:space="preserve">SEE also “Constitutional procedure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Div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Court”</w:t>
            </w:r>
          </w:p>
        </w:tc>
        <w:tc>
          <w:tcPr>
            <w:tcW w:w="510" w:type="dxa"/>
            <w:vAlign w:val="center"/>
          </w:tcPr>
          <w:p w14:paraId="5EAF4CA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061B917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66CD3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44B5E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Federal Court – </w:t>
            </w:r>
            <w:r>
              <w:rPr>
                <w:rFonts w:ascii="Arial Narrow Italic" w:hAnsi="Arial Narrow Italic"/>
                <w:sz w:val="20"/>
              </w:rPr>
              <w:t>SEE also “Constitutional procedure – Federal Court”</w:t>
            </w:r>
          </w:p>
        </w:tc>
        <w:tc>
          <w:tcPr>
            <w:tcW w:w="510" w:type="dxa"/>
            <w:vAlign w:val="center"/>
          </w:tcPr>
          <w:p w14:paraId="03046E1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597</w:t>
            </w:r>
          </w:p>
        </w:tc>
        <w:tc>
          <w:tcPr>
            <w:tcW w:w="427" w:type="dxa"/>
            <w:vAlign w:val="center"/>
          </w:tcPr>
          <w:p w14:paraId="5BFF264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D29DF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808436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Notice of constitutional question – JR</w:t>
            </w:r>
          </w:p>
        </w:tc>
        <w:tc>
          <w:tcPr>
            <w:tcW w:w="510" w:type="dxa"/>
            <w:vAlign w:val="center"/>
          </w:tcPr>
          <w:p w14:paraId="700EFE9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0A49D2D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F6E288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613C0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Notice of constitutional question – superior courts – </w:t>
            </w:r>
            <w:r>
              <w:rPr>
                <w:rFonts w:ascii="Arial Narrow Italic" w:hAnsi="Arial Narrow Italic"/>
                <w:sz w:val="20"/>
              </w:rPr>
              <w:t>SEE also “Constitutional procedure – superior courts”</w:t>
            </w:r>
          </w:p>
        </w:tc>
        <w:tc>
          <w:tcPr>
            <w:tcW w:w="510" w:type="dxa"/>
            <w:vAlign w:val="center"/>
          </w:tcPr>
          <w:p w14:paraId="5F494A0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19AA25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BD54C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1561E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Notwithstanding clause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33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3F5A218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7FC60C5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A84C96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0E239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Nova Scotia (Workers’ Comp. Board) v. Martin </w:t>
            </w:r>
            <w:r>
              <w:rPr>
                <w:rFonts w:ascii="Arial Narrow" w:hAnsi="Arial Narrow"/>
                <w:sz w:val="20"/>
              </w:rPr>
              <w:t>– ability of admin tribunals to consider constitutional matters – test for implied jurisdiction</w:t>
            </w:r>
          </w:p>
        </w:tc>
        <w:tc>
          <w:tcPr>
            <w:tcW w:w="510" w:type="dxa"/>
            <w:vAlign w:val="center"/>
          </w:tcPr>
          <w:p w14:paraId="31D35AC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144F8A9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5FA194E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3303D20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O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A5EF5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4DC642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082D65C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A9C4F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Oakes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(R. v.)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SEE “Charter – limits”</w:t>
            </w:r>
          </w:p>
        </w:tc>
        <w:tc>
          <w:tcPr>
            <w:tcW w:w="510" w:type="dxa"/>
            <w:vAlign w:val="center"/>
          </w:tcPr>
          <w:p w14:paraId="79F511D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49BA391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6F667B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A53F4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Ocean Port Hotel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v. BC </w:t>
            </w:r>
            <w:r>
              <w:rPr>
                <w:rFonts w:ascii="Arial Narrow" w:hAnsi="Arial Narrow"/>
                <w:sz w:val="20"/>
              </w:rPr>
              <w:t>– institutional – independence of DM – ousted by express statutory language</w:t>
            </w:r>
          </w:p>
        </w:tc>
        <w:tc>
          <w:tcPr>
            <w:tcW w:w="510" w:type="dxa"/>
            <w:vAlign w:val="center"/>
          </w:tcPr>
          <w:p w14:paraId="6E79806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463FC1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AB959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F584B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jurisdiction to conduct JR– under </w:t>
            </w:r>
            <w:r>
              <w:rPr>
                <w:rFonts w:ascii="Arial Narrow Italic" w:hAnsi="Arial Narrow Italic"/>
                <w:sz w:val="20"/>
              </w:rPr>
              <w:t>JRPA</w:t>
            </w:r>
          </w:p>
        </w:tc>
        <w:tc>
          <w:tcPr>
            <w:tcW w:w="510" w:type="dxa"/>
            <w:vAlign w:val="center"/>
          </w:tcPr>
          <w:p w14:paraId="36F2156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002C335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33368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AD801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– jurisdiction to review inferior court decisions – </w:t>
            </w:r>
            <w:r>
              <w:rPr>
                <w:rFonts w:ascii="Arial Narrow Italic" w:hAnsi="Arial Narrow Italic"/>
                <w:sz w:val="20"/>
              </w:rPr>
              <w:t xml:space="preserve">JRPA </w:t>
            </w:r>
            <w:r>
              <w:rPr>
                <w:rFonts w:ascii="Arial Narrow" w:hAnsi="Arial Narrow"/>
                <w:sz w:val="20"/>
              </w:rPr>
              <w:t>(s. 1)</w:t>
            </w:r>
          </w:p>
        </w:tc>
        <w:tc>
          <w:tcPr>
            <w:tcW w:w="510" w:type="dxa"/>
            <w:vAlign w:val="center"/>
          </w:tcPr>
          <w:p w14:paraId="6217E2F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496B449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5130B1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646F01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ON Superior Court – jurisdiction – declarations re: constitutionality</w:t>
            </w:r>
          </w:p>
        </w:tc>
        <w:tc>
          <w:tcPr>
            <w:tcW w:w="510" w:type="dxa"/>
            <w:vAlign w:val="center"/>
          </w:tcPr>
          <w:p w14:paraId="7A7631E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365023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 w:rsidRPr="001317EF">
              <w:rPr>
                <w:rFonts w:ascii="Arial Narrow" w:hAnsi="Arial Narrow"/>
                <w:caps/>
                <w:sz w:val="20"/>
              </w:rPr>
              <w:t>a</w:t>
            </w:r>
          </w:p>
        </w:tc>
      </w:tr>
      <w:tr w:rsidR="00A72EAE" w14:paraId="6262B6E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9C5427" w14:textId="77777777" w:rsidR="00A72EAE" w:rsidRPr="00BB004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lastRenderedPageBreak/>
              <w:t>Ontario Disability Support Program Act, 1997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6655593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734CBF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D90079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1082D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Oral agreements – Aboriginal treaties – </w:t>
            </w:r>
            <w:r>
              <w:rPr>
                <w:rFonts w:ascii="Arial Narrow Italic" w:hAnsi="Arial Narrow Italic"/>
                <w:sz w:val="20"/>
              </w:rPr>
              <w:t>SEE also “Aboriginal rights – treaty interpretation”</w:t>
            </w:r>
          </w:p>
        </w:tc>
        <w:tc>
          <w:tcPr>
            <w:tcW w:w="510" w:type="dxa"/>
            <w:vAlign w:val="center"/>
          </w:tcPr>
          <w:p w14:paraId="1477EBF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57A41A4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A59CBF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98053F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Oral hearings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9 – open to public</w:t>
            </w:r>
          </w:p>
        </w:tc>
        <w:tc>
          <w:tcPr>
            <w:tcW w:w="510" w:type="dxa"/>
            <w:vAlign w:val="center"/>
          </w:tcPr>
          <w:p w14:paraId="3B23283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EC9AF6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52F73A8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51F2B79E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P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77B100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722980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788F3C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74942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Paramountcy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 xml:space="preserve">SEE “Division of powers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paramountcy</w:t>
            </w:r>
            <w:proofErr w:type="spellEnd"/>
            <w:r>
              <w:rPr>
                <w:rFonts w:ascii="Arial Narrow Italic" w:hAnsi="Arial Narrow Italic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7B6559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579</w:t>
            </w:r>
          </w:p>
        </w:tc>
        <w:tc>
          <w:tcPr>
            <w:tcW w:w="427" w:type="dxa"/>
            <w:vAlign w:val="center"/>
          </w:tcPr>
          <w:p w14:paraId="7A1E542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09A54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20309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Participatory rights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2FF45C5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C86F60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1E94E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A39FD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Peace, order, and good government – federal power – </w:t>
            </w:r>
            <w:r>
              <w:rPr>
                <w:rFonts w:ascii="Arial Narrow Italic" w:hAnsi="Arial Narrow Italic"/>
                <w:sz w:val="20"/>
              </w:rPr>
              <w:t>SEE “Division of powers – POGG”</w:t>
            </w:r>
          </w:p>
        </w:tc>
        <w:tc>
          <w:tcPr>
            <w:tcW w:w="510" w:type="dxa"/>
            <w:vAlign w:val="center"/>
          </w:tcPr>
          <w:p w14:paraId="7F3716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7F7761A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BC956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663BF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Personal bias – </w:t>
            </w:r>
            <w:r>
              <w:rPr>
                <w:rFonts w:ascii="Arial Narrow Italic" w:hAnsi="Arial Narrow Italic"/>
                <w:sz w:val="20"/>
              </w:rPr>
              <w:t>SEE “Bias (natural justice)”</w:t>
            </w:r>
          </w:p>
        </w:tc>
        <w:tc>
          <w:tcPr>
            <w:tcW w:w="510" w:type="dxa"/>
            <w:vAlign w:val="center"/>
          </w:tcPr>
          <w:p w14:paraId="0316A07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161697C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E810DD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0E3FB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Personal circumstances vs. personal characteristics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</w:t>
            </w:r>
          </w:p>
        </w:tc>
        <w:tc>
          <w:tcPr>
            <w:tcW w:w="510" w:type="dxa"/>
            <w:vAlign w:val="center"/>
          </w:tcPr>
          <w:p w14:paraId="1BAE999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1447B89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4094BE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FC9F2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Personal information – </w:t>
            </w:r>
            <w:r>
              <w:rPr>
                <w:rFonts w:ascii="Arial Narrow Italic" w:hAnsi="Arial Narrow Italic"/>
                <w:sz w:val="20"/>
              </w:rPr>
              <w:t xml:space="preserve">SEE “Privacy” </w:t>
            </w:r>
          </w:p>
        </w:tc>
        <w:tc>
          <w:tcPr>
            <w:tcW w:w="510" w:type="dxa"/>
            <w:vAlign w:val="center"/>
          </w:tcPr>
          <w:p w14:paraId="1173C31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2110FEB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38B06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3B20CC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PF – natural justice – right to be heard – “the case to meet”</w:t>
            </w:r>
          </w:p>
        </w:tc>
        <w:tc>
          <w:tcPr>
            <w:tcW w:w="510" w:type="dxa"/>
            <w:vAlign w:val="center"/>
          </w:tcPr>
          <w:p w14:paraId="30A0EDA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28CB1F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C357D0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785CB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Pith and substance – </w:t>
            </w:r>
            <w:r>
              <w:rPr>
                <w:rFonts w:ascii="Arial Narrow Italic" w:hAnsi="Arial Narrow Italic"/>
                <w:sz w:val="20"/>
              </w:rPr>
              <w:t>SEE “Division of powers – pith and substance”</w:t>
            </w:r>
          </w:p>
        </w:tc>
        <w:tc>
          <w:tcPr>
            <w:tcW w:w="510" w:type="dxa"/>
            <w:vAlign w:val="center"/>
          </w:tcPr>
          <w:p w14:paraId="3F88A73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578</w:t>
            </w:r>
          </w:p>
        </w:tc>
        <w:tc>
          <w:tcPr>
            <w:tcW w:w="427" w:type="dxa"/>
            <w:vAlign w:val="center"/>
          </w:tcPr>
          <w:p w14:paraId="7883328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DCA2B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0AE45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POGG – federal power – </w:t>
            </w:r>
            <w:r>
              <w:rPr>
                <w:rFonts w:ascii="Arial Narrow Italic" w:hAnsi="Arial Narrow Italic"/>
                <w:sz w:val="20"/>
              </w:rPr>
              <w:t>SEE “Division of powers – POGG”</w:t>
            </w:r>
          </w:p>
        </w:tc>
        <w:tc>
          <w:tcPr>
            <w:tcW w:w="510" w:type="dxa"/>
            <w:vAlign w:val="center"/>
          </w:tcPr>
          <w:p w14:paraId="3BE6B3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575</w:t>
            </w:r>
          </w:p>
        </w:tc>
        <w:tc>
          <w:tcPr>
            <w:tcW w:w="427" w:type="dxa"/>
            <w:vAlign w:val="center"/>
          </w:tcPr>
          <w:p w14:paraId="1C74897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902C9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F8054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Powley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(R. v.) </w:t>
            </w:r>
            <w:r>
              <w:rPr>
                <w:rFonts w:ascii="Arial Narrow" w:hAnsi="Arial Narrow"/>
                <w:sz w:val="20"/>
              </w:rPr>
              <w:t>– Aboriginal rights – Métis claims</w:t>
            </w:r>
          </w:p>
        </w:tc>
        <w:tc>
          <w:tcPr>
            <w:tcW w:w="510" w:type="dxa"/>
            <w:vAlign w:val="center"/>
          </w:tcPr>
          <w:p w14:paraId="38EEFCB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43629BE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DA6ED5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FBE72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Pragmatic and functional approach – </w:t>
            </w:r>
            <w:r>
              <w:rPr>
                <w:rFonts w:ascii="Arial Narrow Italic" w:hAnsi="Arial Narrow Italic"/>
                <w:sz w:val="20"/>
              </w:rPr>
              <w:t>SEE “Substantive review”</w:t>
            </w:r>
          </w:p>
        </w:tc>
        <w:tc>
          <w:tcPr>
            <w:tcW w:w="510" w:type="dxa"/>
            <w:vAlign w:val="center"/>
          </w:tcPr>
          <w:p w14:paraId="6CDF28A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482710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50424F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EB319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Prerogative power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remedies – </w:t>
            </w:r>
            <w:r>
              <w:rPr>
                <w:rFonts w:ascii="Arial Narrow Italic" w:hAnsi="Arial Narrow Italic"/>
                <w:sz w:val="20"/>
              </w:rPr>
              <w:t>SEE also “Crown prerogative”</w:t>
            </w:r>
          </w:p>
        </w:tc>
        <w:tc>
          <w:tcPr>
            <w:tcW w:w="510" w:type="dxa"/>
            <w:vAlign w:val="center"/>
          </w:tcPr>
          <w:p w14:paraId="04DB312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67FA365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7189E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09E9E7" w14:textId="77777777" w:rsidR="00A72EAE" w:rsidRPr="00ED759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fundamental justice – arbitrariness</w:t>
            </w:r>
          </w:p>
        </w:tc>
        <w:tc>
          <w:tcPr>
            <w:tcW w:w="510" w:type="dxa"/>
            <w:vAlign w:val="center"/>
          </w:tcPr>
          <w:p w14:paraId="165EE6D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51C96D4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0E807F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9C4C96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Principles of fundamental justice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s. 7 – </w:t>
            </w:r>
            <w:r>
              <w:rPr>
                <w:rFonts w:ascii="Arial Narrow Italic" w:hAnsi="Arial Narrow Italic"/>
                <w:sz w:val="20"/>
              </w:rPr>
              <w:t>Malmo-Levine, D.B.</w:t>
            </w:r>
          </w:p>
        </w:tc>
        <w:tc>
          <w:tcPr>
            <w:tcW w:w="510" w:type="dxa"/>
            <w:vAlign w:val="center"/>
          </w:tcPr>
          <w:p w14:paraId="2D6F1D6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1AC7DFF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46FB43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0870EAF" w14:textId="77777777" w:rsidR="00A72EAE" w:rsidRPr="00DC1D1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fundamental justice – gross disproportionality</w:t>
            </w:r>
          </w:p>
        </w:tc>
        <w:tc>
          <w:tcPr>
            <w:tcW w:w="510" w:type="dxa"/>
            <w:vAlign w:val="center"/>
          </w:tcPr>
          <w:p w14:paraId="384B3BF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3949849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A1A569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60D63A" w14:textId="77777777" w:rsidR="00A72EAE" w:rsidRPr="00ED759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Principles of fundamental justice – </w:t>
            </w:r>
            <w:proofErr w:type="spellStart"/>
            <w:r>
              <w:rPr>
                <w:rFonts w:ascii="Arial Narrow" w:hAnsi="Arial Narrow"/>
                <w:sz w:val="20"/>
              </w:rPr>
              <w:t>overbreadth</w:t>
            </w:r>
            <w:proofErr w:type="spellEnd"/>
          </w:p>
        </w:tc>
        <w:tc>
          <w:tcPr>
            <w:tcW w:w="510" w:type="dxa"/>
            <w:vAlign w:val="center"/>
          </w:tcPr>
          <w:p w14:paraId="0A0756C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5698AC6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0D253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78A5AA" w14:textId="77777777" w:rsidR="00A72EAE" w:rsidRPr="00DC1D1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Principles of fundamental justice – vagueness</w:t>
            </w:r>
          </w:p>
        </w:tc>
        <w:tc>
          <w:tcPr>
            <w:tcW w:w="510" w:type="dxa"/>
            <w:vAlign w:val="center"/>
          </w:tcPr>
          <w:p w14:paraId="7278372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582</w:t>
            </w:r>
          </w:p>
        </w:tc>
        <w:tc>
          <w:tcPr>
            <w:tcW w:w="427" w:type="dxa"/>
            <w:vAlign w:val="center"/>
          </w:tcPr>
          <w:p w14:paraId="08E9EA6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7EC66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DFE62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Privacy –</w:t>
            </w:r>
            <w:r>
              <w:rPr>
                <w:rFonts w:ascii="Arial Narrow" w:hAnsi="Arial Narrow"/>
                <w:sz w:val="20"/>
              </w:rPr>
              <w:t xml:space="preserve"> access by subject individual to personal information</w:t>
            </w:r>
          </w:p>
        </w:tc>
        <w:tc>
          <w:tcPr>
            <w:tcW w:w="510" w:type="dxa"/>
            <w:vAlign w:val="center"/>
          </w:tcPr>
          <w:p w14:paraId="7B8DB17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05DD5AA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1696C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32A86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accuracy of personal information used by institutions</w:t>
            </w:r>
          </w:p>
        </w:tc>
        <w:tc>
          <w:tcPr>
            <w:tcW w:w="510" w:type="dxa"/>
            <w:vAlign w:val="center"/>
          </w:tcPr>
          <w:p w14:paraId="2972CD1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343286C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E69873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76BC3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collection of personal information – when permitted</w:t>
            </w:r>
          </w:p>
        </w:tc>
        <w:tc>
          <w:tcPr>
            <w:tcW w:w="510" w:type="dxa"/>
            <w:vAlign w:val="center"/>
          </w:tcPr>
          <w:p w14:paraId="2A1F2CA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0901A02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26FF6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75A9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applying to Federal Court for review</w:t>
            </w:r>
          </w:p>
        </w:tc>
        <w:tc>
          <w:tcPr>
            <w:tcW w:w="510" w:type="dxa"/>
            <w:vAlign w:val="center"/>
          </w:tcPr>
          <w:p w14:paraId="29F31B9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6E753B4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19FFD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C40044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federal vs. ON – slightly different powers</w:t>
            </w:r>
          </w:p>
        </w:tc>
        <w:tc>
          <w:tcPr>
            <w:tcW w:w="510" w:type="dxa"/>
            <w:vAlign w:val="center"/>
          </w:tcPr>
          <w:p w14:paraId="7EF1F02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22974E3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D2E5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1D5A46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investigatory powers</w:t>
            </w:r>
          </w:p>
        </w:tc>
        <w:tc>
          <w:tcPr>
            <w:tcW w:w="510" w:type="dxa"/>
            <w:vAlign w:val="center"/>
          </w:tcPr>
          <w:p w14:paraId="4C12045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A3CC15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DBC23F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ACDC6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commissioners – remedies (e.g. reports, binding orders)</w:t>
            </w:r>
          </w:p>
        </w:tc>
        <w:tc>
          <w:tcPr>
            <w:tcW w:w="510" w:type="dxa"/>
            <w:vAlign w:val="center"/>
          </w:tcPr>
          <w:p w14:paraId="728F7AA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056278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2A2DB1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5BBBD0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Privacy – complaint or appeal to privacy commissioners</w:t>
            </w:r>
          </w:p>
        </w:tc>
        <w:tc>
          <w:tcPr>
            <w:tcW w:w="510" w:type="dxa"/>
            <w:vAlign w:val="center"/>
          </w:tcPr>
          <w:p w14:paraId="2E4E8A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162EF61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0170F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CBBF74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correcting errors or omissions</w:t>
            </w:r>
          </w:p>
        </w:tc>
        <w:tc>
          <w:tcPr>
            <w:tcW w:w="510" w:type="dxa"/>
            <w:vAlign w:val="center"/>
          </w:tcPr>
          <w:p w14:paraId="320ACE5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39AAE2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CF3E4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FBEDBE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disclosure of personal information – when permitted</w:t>
            </w:r>
          </w:p>
        </w:tc>
        <w:tc>
          <w:tcPr>
            <w:tcW w:w="510" w:type="dxa"/>
            <w:vAlign w:val="center"/>
          </w:tcPr>
          <w:p w14:paraId="68069C3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0A38A0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86F58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986D0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exclusions from privacy legislation</w:t>
            </w:r>
          </w:p>
        </w:tc>
        <w:tc>
          <w:tcPr>
            <w:tcW w:w="510" w:type="dxa"/>
            <w:vAlign w:val="center"/>
          </w:tcPr>
          <w:p w14:paraId="799C925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06A809A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4E6CFA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F8710A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Federal Court – role in reviewing decisions related to personal information</w:t>
            </w:r>
          </w:p>
        </w:tc>
        <w:tc>
          <w:tcPr>
            <w:tcW w:w="510" w:type="dxa"/>
            <w:vAlign w:val="center"/>
          </w:tcPr>
          <w:p w14:paraId="4B973FE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047C055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1A28C9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B9E23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general</w:t>
            </w:r>
          </w:p>
        </w:tc>
        <w:tc>
          <w:tcPr>
            <w:tcW w:w="510" w:type="dxa"/>
            <w:vAlign w:val="center"/>
          </w:tcPr>
          <w:p w14:paraId="0728EF1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4869104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9CC58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F7A4E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identifiable information – definition</w:t>
            </w:r>
          </w:p>
        </w:tc>
        <w:tc>
          <w:tcPr>
            <w:tcW w:w="510" w:type="dxa"/>
            <w:vAlign w:val="center"/>
          </w:tcPr>
          <w:p w14:paraId="5E7D8F3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11EC858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7E04A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5D9EA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legislation – federal</w:t>
            </w:r>
          </w:p>
        </w:tc>
        <w:tc>
          <w:tcPr>
            <w:tcW w:w="510" w:type="dxa"/>
            <w:vAlign w:val="center"/>
          </w:tcPr>
          <w:p w14:paraId="759CADD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16C5A89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51774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8D13A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legislation – provincial – ON and municipal</w:t>
            </w:r>
          </w:p>
        </w:tc>
        <w:tc>
          <w:tcPr>
            <w:tcW w:w="510" w:type="dxa"/>
            <w:vAlign w:val="center"/>
          </w:tcPr>
          <w:p w14:paraId="6936B89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73536B8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11B45A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A5AD402" w14:textId="77777777" w:rsidR="00A72EAE" w:rsidRPr="00D4498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– legislation – purpose –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Lavigne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v. Canada</w:t>
            </w:r>
          </w:p>
        </w:tc>
        <w:tc>
          <w:tcPr>
            <w:tcW w:w="510" w:type="dxa"/>
            <w:vAlign w:val="center"/>
          </w:tcPr>
          <w:p w14:paraId="3984476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22B47C8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9437F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4AF68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offences under ON privacy legislation</w:t>
            </w:r>
          </w:p>
        </w:tc>
        <w:tc>
          <w:tcPr>
            <w:tcW w:w="510" w:type="dxa"/>
            <w:vAlign w:val="center"/>
          </w:tcPr>
          <w:p w14:paraId="6CDF4B2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4D5283B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F91F1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3487F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correcting errors or omissions</w:t>
            </w:r>
          </w:p>
        </w:tc>
        <w:tc>
          <w:tcPr>
            <w:tcW w:w="510" w:type="dxa"/>
            <w:vAlign w:val="center"/>
          </w:tcPr>
          <w:p w14:paraId="20515BF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C41B38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8AA9C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DC4EC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definition</w:t>
            </w:r>
          </w:p>
        </w:tc>
        <w:tc>
          <w:tcPr>
            <w:tcW w:w="510" w:type="dxa"/>
            <w:vAlign w:val="center"/>
          </w:tcPr>
          <w:p w14:paraId="7AC7600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4DBB61F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1D936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48443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examples</w:t>
            </w:r>
          </w:p>
        </w:tc>
        <w:tc>
          <w:tcPr>
            <w:tcW w:w="510" w:type="dxa"/>
            <w:vAlign w:val="center"/>
          </w:tcPr>
          <w:p w14:paraId="536D45B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2217B07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B9B459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0B7BC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personal information – unlawful disclosure is an offence (ON)</w:t>
            </w:r>
          </w:p>
        </w:tc>
        <w:tc>
          <w:tcPr>
            <w:tcW w:w="510" w:type="dxa"/>
            <w:vAlign w:val="center"/>
          </w:tcPr>
          <w:p w14:paraId="24974CA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573</w:t>
            </w:r>
          </w:p>
        </w:tc>
        <w:tc>
          <w:tcPr>
            <w:tcW w:w="427" w:type="dxa"/>
            <w:vAlign w:val="center"/>
          </w:tcPr>
          <w:p w14:paraId="5B6422E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3A990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EC8A31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retention, accuracy and disposal of personal information</w:t>
            </w:r>
          </w:p>
        </w:tc>
        <w:tc>
          <w:tcPr>
            <w:tcW w:w="510" w:type="dxa"/>
            <w:vAlign w:val="center"/>
          </w:tcPr>
          <w:p w14:paraId="72268EC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4C3FB90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24B71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237F8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right of access to personal information</w:t>
            </w:r>
          </w:p>
        </w:tc>
        <w:tc>
          <w:tcPr>
            <w:tcW w:w="510" w:type="dxa"/>
            <w:vAlign w:val="center"/>
          </w:tcPr>
          <w:p w14:paraId="7BE02D1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622EBD6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6DE071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98FC5D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rules for handling personal information</w:t>
            </w:r>
          </w:p>
        </w:tc>
        <w:tc>
          <w:tcPr>
            <w:tcW w:w="510" w:type="dxa"/>
            <w:vAlign w:val="center"/>
          </w:tcPr>
          <w:p w14:paraId="5BA4B71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591006B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FF3AB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EC23C0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– use and disclosure of personal information – when permitted</w:t>
            </w:r>
          </w:p>
        </w:tc>
        <w:tc>
          <w:tcPr>
            <w:tcW w:w="510" w:type="dxa"/>
            <w:vAlign w:val="center"/>
          </w:tcPr>
          <w:p w14:paraId="1C8556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572</w:t>
            </w:r>
          </w:p>
        </w:tc>
        <w:tc>
          <w:tcPr>
            <w:tcW w:w="427" w:type="dxa"/>
            <w:vAlign w:val="center"/>
          </w:tcPr>
          <w:p w14:paraId="425AC99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F8456C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0CCF5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Privacy Act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 Italic" w:hAnsi="Arial Narrow Italic"/>
                <w:sz w:val="20"/>
              </w:rPr>
              <w:t>PA</w:t>
            </w:r>
            <w:r>
              <w:rPr>
                <w:rFonts w:ascii="Arial Narrow" w:hAnsi="Arial Narrow"/>
                <w:sz w:val="20"/>
              </w:rPr>
              <w:t xml:space="preserve">) – </w:t>
            </w:r>
            <w:r>
              <w:rPr>
                <w:rFonts w:ascii="Arial Narrow Italic" w:hAnsi="Arial Narrow Italic"/>
                <w:sz w:val="20"/>
              </w:rPr>
              <w:t xml:space="preserve">SEE “Privacy” </w:t>
            </w:r>
          </w:p>
        </w:tc>
        <w:tc>
          <w:tcPr>
            <w:tcW w:w="510" w:type="dxa"/>
            <w:vAlign w:val="center"/>
          </w:tcPr>
          <w:p w14:paraId="307AA30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BCE2C3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5C73BB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0143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Privacy commissioners – JR – “admin investigator” not adjudicator</w:t>
            </w:r>
          </w:p>
        </w:tc>
        <w:tc>
          <w:tcPr>
            <w:tcW w:w="510" w:type="dxa"/>
            <w:vAlign w:val="center"/>
          </w:tcPr>
          <w:p w14:paraId="128CCB6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3E63628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149F50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74ACC8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commissioners – JR – subject to judicial review under </w:t>
            </w:r>
            <w:r>
              <w:rPr>
                <w:rFonts w:ascii="Arial Narrow Italic" w:hAnsi="Arial Narrow Italic"/>
                <w:sz w:val="20"/>
              </w:rPr>
              <w:t>FCA</w:t>
            </w:r>
          </w:p>
        </w:tc>
        <w:tc>
          <w:tcPr>
            <w:tcW w:w="510" w:type="dxa"/>
            <w:vAlign w:val="center"/>
          </w:tcPr>
          <w:p w14:paraId="1B95F45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2CCAE5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00C1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D4B210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Privacy rights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8</w:t>
            </w:r>
          </w:p>
        </w:tc>
        <w:tc>
          <w:tcPr>
            <w:tcW w:w="510" w:type="dxa"/>
            <w:vAlign w:val="center"/>
          </w:tcPr>
          <w:p w14:paraId="763F0EE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6C2C0D2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8EC88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07224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Privative clause – factor in determining standard of review – JR</w:t>
            </w:r>
          </w:p>
        </w:tc>
        <w:tc>
          <w:tcPr>
            <w:tcW w:w="510" w:type="dxa"/>
            <w:vAlign w:val="center"/>
          </w:tcPr>
          <w:p w14:paraId="3DBA72E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34D7E15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47EE7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2AF140" w14:textId="77777777" w:rsidR="00A72EAE" w:rsidRPr="00775E78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Procedural Fairness – natural justice – right to be heard – adequate notice – “meaningful” – </w:t>
            </w:r>
            <w:r>
              <w:rPr>
                <w:rFonts w:ascii="Arial Narrow" w:hAnsi="Arial Narrow"/>
                <w:i/>
                <w:sz w:val="20"/>
              </w:rPr>
              <w:t>Central Ontario Coalition Concerning Hydro (Re)</w:t>
            </w:r>
          </w:p>
        </w:tc>
        <w:tc>
          <w:tcPr>
            <w:tcW w:w="510" w:type="dxa"/>
            <w:vAlign w:val="center"/>
          </w:tcPr>
          <w:p w14:paraId="5B75D80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52ED4BB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1913A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383030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Procedural Fairness – no sharp distinction between natural justice and fairness – </w:t>
            </w:r>
            <w:r>
              <w:rPr>
                <w:rFonts w:ascii="Arial Narrow Italic" w:hAnsi="Arial Narrow Italic"/>
                <w:sz w:val="20"/>
              </w:rPr>
              <w:t>Martineau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Matsqui</w:t>
            </w:r>
            <w:proofErr w:type="spellEnd"/>
          </w:p>
        </w:tc>
        <w:tc>
          <w:tcPr>
            <w:tcW w:w="510" w:type="dxa"/>
            <w:vAlign w:val="center"/>
          </w:tcPr>
          <w:p w14:paraId="1418A10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0FE64FD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4FBB8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B6BF95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Procedural Fairness – procedural entitlements – natural justice and fairness</w:t>
            </w:r>
          </w:p>
        </w:tc>
        <w:tc>
          <w:tcPr>
            <w:tcW w:w="510" w:type="dxa"/>
            <w:vAlign w:val="center"/>
          </w:tcPr>
          <w:p w14:paraId="4849F79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58AC4C6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:rsidRPr="00401726" w14:paraId="4E3D937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D47481" w14:textId="77777777" w:rsidR="00A72EAE" w:rsidRPr="00CD732A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Procedural Fairness – sources of proper procedure – statutory scheme &amp; </w:t>
            </w:r>
            <w:r>
              <w:rPr>
                <w:rFonts w:ascii="Arial Narrow" w:hAnsi="Arial Narrow"/>
                <w:i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1C864584" w14:textId="77777777" w:rsidR="00A72EAE" w:rsidRPr="00401726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546</w:t>
            </w:r>
          </w:p>
        </w:tc>
        <w:tc>
          <w:tcPr>
            <w:tcW w:w="427" w:type="dxa"/>
            <w:vAlign w:val="center"/>
          </w:tcPr>
          <w:p w14:paraId="6625ABD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16340A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B4E556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Procedural limits on delegated power</w:t>
            </w:r>
          </w:p>
        </w:tc>
        <w:tc>
          <w:tcPr>
            <w:tcW w:w="510" w:type="dxa"/>
            <w:vAlign w:val="center"/>
          </w:tcPr>
          <w:p w14:paraId="77302EB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0E7CB61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3CEE19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7B39FB5" w14:textId="77777777" w:rsidR="00A72EAE" w:rsidRPr="00E024A3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 w:rsidRPr="00E024A3">
              <w:rPr>
                <w:rFonts w:ascii="Arial Narrow" w:hAnsi="Arial Narrow"/>
                <w:sz w:val="20"/>
              </w:rPr>
              <w:lastRenderedPageBreak/>
              <w:t>Pro</w:t>
            </w:r>
            <w:r>
              <w:rPr>
                <w:rFonts w:ascii="Arial Narrow" w:hAnsi="Arial Narrow"/>
                <w:sz w:val="20"/>
              </w:rPr>
              <w:t xml:space="preserve">cedural rights – </w:t>
            </w:r>
            <w:r w:rsidRPr="00E024A3">
              <w:rPr>
                <w:rFonts w:ascii="Arial Narrow" w:hAnsi="Arial Narrow"/>
                <w:i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0102AB3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5E6F02E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718BE4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2B106F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Procedure vs. substantive standards – delegated power</w:t>
            </w:r>
          </w:p>
        </w:tc>
        <w:tc>
          <w:tcPr>
            <w:tcW w:w="510" w:type="dxa"/>
            <w:vAlign w:val="center"/>
          </w:tcPr>
          <w:p w14:paraId="2C660D6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621CD4B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7DC9C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488F2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Proceedings Against the Crown Act </w:t>
            </w:r>
            <w:r>
              <w:rPr>
                <w:rFonts w:ascii="Arial Narrow" w:hAnsi="Arial Narrow"/>
                <w:sz w:val="20"/>
              </w:rPr>
              <w:t>– Aboriginal rights</w:t>
            </w:r>
          </w:p>
        </w:tc>
        <w:tc>
          <w:tcPr>
            <w:tcW w:w="510" w:type="dxa"/>
            <w:vAlign w:val="center"/>
          </w:tcPr>
          <w:p w14:paraId="09A95B9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412C343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1EFFD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57F82C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Proceedings Against the Crown Act</w:t>
            </w:r>
            <w:r>
              <w:rPr>
                <w:rFonts w:ascii="Arial Narrow" w:hAnsi="Arial Narrow"/>
                <w:sz w:val="20"/>
              </w:rPr>
              <w:t xml:space="preserve"> – notice requirement when seeking damages against Crown – </w:t>
            </w:r>
            <w:r>
              <w:rPr>
                <w:rFonts w:ascii="Arial Narrow Italic" w:hAnsi="Arial Narrow Italic"/>
                <w:sz w:val="20"/>
              </w:rPr>
              <w:t>SEE also “Constitutional procedure”</w:t>
            </w:r>
          </w:p>
        </w:tc>
        <w:tc>
          <w:tcPr>
            <w:tcW w:w="510" w:type="dxa"/>
            <w:vAlign w:val="center"/>
          </w:tcPr>
          <w:p w14:paraId="47C9099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595</w:t>
            </w:r>
          </w:p>
        </w:tc>
        <w:tc>
          <w:tcPr>
            <w:tcW w:w="427" w:type="dxa"/>
            <w:vAlign w:val="center"/>
          </w:tcPr>
          <w:p w14:paraId="06811AD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A6E2A9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EA7A2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Proceedings Against the Crown Act</w:t>
            </w:r>
            <w:r>
              <w:rPr>
                <w:rFonts w:ascii="Arial Narrow" w:hAnsi="Arial Narrow"/>
                <w:sz w:val="20"/>
              </w:rPr>
              <w:t xml:space="preserve"> – suing the Crown for damages – provincial</w:t>
            </w:r>
          </w:p>
        </w:tc>
        <w:tc>
          <w:tcPr>
            <w:tcW w:w="510" w:type="dxa"/>
            <w:vAlign w:val="center"/>
          </w:tcPr>
          <w:p w14:paraId="545DCBF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2D67993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ED4B27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660CD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Prohibition – JR – relief available – prerogative</w:t>
            </w:r>
          </w:p>
        </w:tc>
        <w:tc>
          <w:tcPr>
            <w:tcW w:w="510" w:type="dxa"/>
            <w:vAlign w:val="center"/>
          </w:tcPr>
          <w:p w14:paraId="3906C6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53F0901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699CE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0CEB56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Provincial powers – </w:t>
            </w:r>
            <w:r>
              <w:rPr>
                <w:rFonts w:ascii="Arial Narrow Italic" w:hAnsi="Arial Narrow Italic"/>
                <w:sz w:val="20"/>
              </w:rPr>
              <w:t>SEE also “Division of powers”</w:t>
            </w:r>
          </w:p>
        </w:tc>
        <w:tc>
          <w:tcPr>
            <w:tcW w:w="510" w:type="dxa"/>
            <w:vAlign w:val="center"/>
          </w:tcPr>
          <w:p w14:paraId="2512F3A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31A64C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4B3C9D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84E68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Provincial superior courts – constitutional cases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668BD70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1DC409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3C23A5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52824A" w14:textId="77777777" w:rsidR="00A72EAE" w:rsidRPr="00D8758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interest standing – constitutional litigation – </w:t>
            </w:r>
            <w:r>
              <w:rPr>
                <w:rFonts w:ascii="Arial Narrow Italic" w:hAnsi="Arial Narrow Italic"/>
                <w:sz w:val="20"/>
              </w:rPr>
              <w:t>SEE also “Constitutional procedure – standing”</w:t>
            </w:r>
          </w:p>
        </w:tc>
        <w:tc>
          <w:tcPr>
            <w:tcW w:w="510" w:type="dxa"/>
            <w:vAlign w:val="center"/>
          </w:tcPr>
          <w:p w14:paraId="785D142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25DB93C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85D252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D4553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interest standing – JR and </w:t>
            </w:r>
            <w:r>
              <w:rPr>
                <w:rFonts w:ascii="Arial Narrow Italic" w:hAnsi="Arial Narrow Italic"/>
                <w:sz w:val="20"/>
              </w:rPr>
              <w:t>Charter</w:t>
            </w:r>
          </w:p>
        </w:tc>
        <w:tc>
          <w:tcPr>
            <w:tcW w:w="510" w:type="dxa"/>
            <w:vAlign w:val="center"/>
          </w:tcPr>
          <w:p w14:paraId="67A065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0F6D8A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3DBE50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67C8C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Public law – definition</w:t>
            </w:r>
          </w:p>
        </w:tc>
        <w:tc>
          <w:tcPr>
            <w:tcW w:w="510" w:type="dxa"/>
            <w:vAlign w:val="center"/>
          </w:tcPr>
          <w:p w14:paraId="308D376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543</w:t>
            </w:r>
          </w:p>
        </w:tc>
        <w:tc>
          <w:tcPr>
            <w:tcW w:w="427" w:type="dxa"/>
            <w:vAlign w:val="center"/>
          </w:tcPr>
          <w:p w14:paraId="3493597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FBD747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EEEDC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sector freedom of information – SEE </w:t>
            </w:r>
            <w:r>
              <w:rPr>
                <w:rFonts w:ascii="Arial Narrow Italic" w:hAnsi="Arial Narrow Italic"/>
                <w:sz w:val="20"/>
              </w:rPr>
              <w:t>“Freedom of information”</w:t>
            </w:r>
          </w:p>
        </w:tc>
        <w:tc>
          <w:tcPr>
            <w:tcW w:w="510" w:type="dxa"/>
            <w:vAlign w:val="center"/>
          </w:tcPr>
          <w:p w14:paraId="6A23CA4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427" w:type="dxa"/>
            <w:vAlign w:val="center"/>
          </w:tcPr>
          <w:p w14:paraId="7A13AC1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9453D5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2B284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Public sector privacy laws – </w:t>
            </w:r>
            <w:r>
              <w:rPr>
                <w:rFonts w:ascii="Arial Narrow Italic" w:hAnsi="Arial Narrow Italic"/>
                <w:sz w:val="20"/>
              </w:rPr>
              <w:t>SEE “Privacy”</w:t>
            </w:r>
          </w:p>
        </w:tc>
        <w:tc>
          <w:tcPr>
            <w:tcW w:w="510" w:type="dxa"/>
            <w:vAlign w:val="center"/>
          </w:tcPr>
          <w:p w14:paraId="4CB59E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427" w:type="dxa"/>
            <w:vAlign w:val="center"/>
          </w:tcPr>
          <w:p w14:paraId="6E85421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589C6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4F8D2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Purpose of tribunal and enabling statute –  factor in determining standard of review – JR</w:t>
            </w:r>
          </w:p>
        </w:tc>
        <w:tc>
          <w:tcPr>
            <w:tcW w:w="510" w:type="dxa"/>
            <w:vAlign w:val="center"/>
          </w:tcPr>
          <w:p w14:paraId="46E7A4E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3FAE1C8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B75DA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84A9B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Pushpanathan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</w:t>
            </w:r>
            <w:r>
              <w:rPr>
                <w:rFonts w:ascii="Arial Narrow" w:hAnsi="Arial Narrow"/>
                <w:sz w:val="20"/>
              </w:rPr>
              <w:t>– substantive review – pragmatic and functional approach</w:t>
            </w:r>
          </w:p>
        </w:tc>
        <w:tc>
          <w:tcPr>
            <w:tcW w:w="510" w:type="dxa"/>
            <w:vAlign w:val="center"/>
          </w:tcPr>
          <w:p w14:paraId="396F33C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7A2368B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23E2CE6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351F0CA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Q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98F511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A26EC2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084650F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4D24C9" w14:textId="77777777" w:rsidR="00A72EAE" w:rsidRPr="00322557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Quebec (Attorney General) v. A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 – perpetuating negative attitudes is irrelevant</w:t>
            </w:r>
          </w:p>
        </w:tc>
        <w:tc>
          <w:tcPr>
            <w:tcW w:w="510" w:type="dxa"/>
            <w:vAlign w:val="center"/>
          </w:tcPr>
          <w:p w14:paraId="7888F37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38F0C87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01BD1A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C9D239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Quo </w:t>
            </w:r>
            <w:proofErr w:type="spellStart"/>
            <w:r>
              <w:rPr>
                <w:rFonts w:ascii="Arial Narrow Italic" w:hAnsi="Arial Narrow Italic"/>
                <w:sz w:val="20"/>
              </w:rPr>
              <w:t>warranto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JR – relief available – prerogative</w:t>
            </w:r>
          </w:p>
        </w:tc>
        <w:tc>
          <w:tcPr>
            <w:tcW w:w="510" w:type="dxa"/>
            <w:vAlign w:val="center"/>
          </w:tcPr>
          <w:p w14:paraId="036B4E7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</w:t>
            </w:r>
          </w:p>
        </w:tc>
        <w:tc>
          <w:tcPr>
            <w:tcW w:w="427" w:type="dxa"/>
            <w:vAlign w:val="center"/>
          </w:tcPr>
          <w:p w14:paraId="46AE19A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245BDF0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64691F0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R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C598CB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2780AD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3537DF3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94917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Reasonable apprehension of bias – </w:t>
            </w:r>
            <w:r>
              <w:rPr>
                <w:rFonts w:ascii="Arial Narrow Italic" w:hAnsi="Arial Narrow Italic"/>
                <w:sz w:val="20"/>
              </w:rPr>
              <w:t>SEE also “Natural justice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669DE7B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  <w:p w14:paraId="52CFFF2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107C253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  <w:p w14:paraId="05AC11E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15C12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7A934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Reasons – possible element of duty of fairness</w:t>
            </w:r>
          </w:p>
        </w:tc>
        <w:tc>
          <w:tcPr>
            <w:tcW w:w="510" w:type="dxa"/>
            <w:vAlign w:val="center"/>
          </w:tcPr>
          <w:p w14:paraId="6870C5E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548</w:t>
            </w:r>
          </w:p>
        </w:tc>
        <w:tc>
          <w:tcPr>
            <w:tcW w:w="427" w:type="dxa"/>
            <w:vAlign w:val="center"/>
          </w:tcPr>
          <w:p w14:paraId="4965618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color w:val="4D0069"/>
                <w:sz w:val="20"/>
              </w:rPr>
              <w:t>r</w:t>
            </w:r>
          </w:p>
        </w:tc>
      </w:tr>
      <w:tr w:rsidR="00A72EAE" w14:paraId="598B3C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4DCFA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Reference – constitutional procedure – definition</w:t>
            </w:r>
          </w:p>
        </w:tc>
        <w:tc>
          <w:tcPr>
            <w:tcW w:w="510" w:type="dxa"/>
            <w:vAlign w:val="center"/>
          </w:tcPr>
          <w:p w14:paraId="482337A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0A1B6F5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1EA4A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A5FA3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Reference – constitutional procedure – need for thorough factual record</w:t>
            </w:r>
          </w:p>
        </w:tc>
        <w:tc>
          <w:tcPr>
            <w:tcW w:w="510" w:type="dxa"/>
            <w:vAlign w:val="center"/>
          </w:tcPr>
          <w:p w14:paraId="737D353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256EACD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EA599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44308B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Reference – constitutional procedure – referring questions to ONCA or SCC</w:t>
            </w:r>
          </w:p>
        </w:tc>
        <w:tc>
          <w:tcPr>
            <w:tcW w:w="510" w:type="dxa"/>
            <w:vAlign w:val="center"/>
          </w:tcPr>
          <w:p w14:paraId="0AB1065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444D904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B494C2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1F0B24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Reference re Same-Sex Marriage</w:t>
            </w:r>
            <w:r>
              <w:rPr>
                <w:rFonts w:ascii="Arial Narrow" w:hAnsi="Arial Narrow"/>
                <w:sz w:val="20"/>
              </w:rPr>
              <w:t xml:space="preserve"> – constitutional references – need for thorough factual record</w:t>
            </w:r>
          </w:p>
        </w:tc>
        <w:tc>
          <w:tcPr>
            <w:tcW w:w="510" w:type="dxa"/>
            <w:vAlign w:val="center"/>
          </w:tcPr>
          <w:p w14:paraId="69F40A1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599</w:t>
            </w:r>
          </w:p>
        </w:tc>
        <w:tc>
          <w:tcPr>
            <w:tcW w:w="427" w:type="dxa"/>
            <w:vAlign w:val="center"/>
          </w:tcPr>
          <w:p w14:paraId="5234B67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618CA3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FB21E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Reference re Securities Act </w:t>
            </w:r>
            <w:r>
              <w:rPr>
                <w:rFonts w:ascii="Arial Narrow" w:hAnsi="Arial Narrow"/>
                <w:sz w:val="20"/>
              </w:rPr>
              <w:t>– division of powers – securities regulation</w:t>
            </w:r>
          </w:p>
        </w:tc>
        <w:tc>
          <w:tcPr>
            <w:tcW w:w="510" w:type="dxa"/>
            <w:vAlign w:val="center"/>
          </w:tcPr>
          <w:p w14:paraId="1E4F609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576</w:t>
            </w:r>
          </w:p>
        </w:tc>
        <w:tc>
          <w:tcPr>
            <w:tcW w:w="427" w:type="dxa"/>
            <w:vAlign w:val="center"/>
          </w:tcPr>
          <w:p w14:paraId="6638A4D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48F55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1247F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Remedies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ss. 24 and 52 </w:t>
            </w:r>
            <w:r>
              <w:rPr>
                <w:rFonts w:ascii="Arial Narrow Italic" w:hAnsi="Arial Narrow Italic"/>
                <w:sz w:val="20"/>
              </w:rPr>
              <w:t>– SEE “Charter – remedies”</w:t>
            </w:r>
          </w:p>
        </w:tc>
        <w:tc>
          <w:tcPr>
            <w:tcW w:w="510" w:type="dxa"/>
            <w:vAlign w:val="center"/>
          </w:tcPr>
          <w:p w14:paraId="7860B4F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581</w:t>
            </w:r>
          </w:p>
        </w:tc>
        <w:tc>
          <w:tcPr>
            <w:tcW w:w="427" w:type="dxa"/>
            <w:vAlign w:val="center"/>
          </w:tcPr>
          <w:p w14:paraId="310B2B7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E53C7C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DDCCC2" w14:textId="77777777" w:rsidR="00A72EAE" w:rsidRPr="00CB5AD4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Residential Tenancies Act, 2006</w:t>
            </w:r>
            <w:r>
              <w:rPr>
                <w:rFonts w:ascii="Arial Narrow" w:hAnsi="Arial Narrow"/>
                <w:sz w:val="20"/>
              </w:rPr>
              <w:t xml:space="preserve"> – statutory reconsideration or appeal</w:t>
            </w:r>
          </w:p>
        </w:tc>
        <w:tc>
          <w:tcPr>
            <w:tcW w:w="510" w:type="dxa"/>
            <w:vAlign w:val="center"/>
          </w:tcPr>
          <w:p w14:paraId="2D0527A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39CE670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E0968B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23A1F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lastRenderedPageBreak/>
              <w:t>Reza v. Canada</w:t>
            </w:r>
            <w:r>
              <w:rPr>
                <w:rFonts w:ascii="Arial Narrow" w:hAnsi="Arial Narrow"/>
                <w:sz w:val="20"/>
              </w:rPr>
              <w:t xml:space="preserve"> – constitutional procedure – Federal Court – preferred forum – expertise</w:t>
            </w:r>
          </w:p>
        </w:tc>
        <w:tc>
          <w:tcPr>
            <w:tcW w:w="510" w:type="dxa"/>
            <w:vAlign w:val="center"/>
          </w:tcPr>
          <w:p w14:paraId="0508581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2C2762E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387EB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0334E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Right of appeal – statutory</w:t>
            </w:r>
          </w:p>
        </w:tc>
        <w:tc>
          <w:tcPr>
            <w:tcW w:w="510" w:type="dxa"/>
            <w:vAlign w:val="center"/>
          </w:tcPr>
          <w:p w14:paraId="78118ED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54A25AF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924878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6740A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Right of appeal – statutory – examples of</w:t>
            </w:r>
          </w:p>
        </w:tc>
        <w:tc>
          <w:tcPr>
            <w:tcW w:w="510" w:type="dxa"/>
            <w:vAlign w:val="center"/>
          </w:tcPr>
          <w:p w14:paraId="542907B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51A9DC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DD9117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703FE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counsel – admin tribunals – witnesses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11</w:t>
            </w:r>
          </w:p>
        </w:tc>
        <w:tc>
          <w:tcPr>
            <w:tcW w:w="510" w:type="dxa"/>
            <w:vAlign w:val="center"/>
          </w:tcPr>
          <w:p w14:paraId="624F5B8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19780EB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8853A1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B7FE8A7" w14:textId="77777777" w:rsidR="00A72EAE" w:rsidRPr="009C2D9F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counsel – parties before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</w:t>
            </w:r>
          </w:p>
        </w:tc>
        <w:tc>
          <w:tcPr>
            <w:tcW w:w="510" w:type="dxa"/>
            <w:vAlign w:val="center"/>
          </w:tcPr>
          <w:p w14:paraId="750D5A7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1C551EA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443FB3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126D40" w14:textId="77777777" w:rsidR="00A72EAE" w:rsidRPr="008A702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cross-examination –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10.1(b); s. 23</w:t>
            </w:r>
          </w:p>
        </w:tc>
        <w:tc>
          <w:tcPr>
            <w:tcW w:w="510" w:type="dxa"/>
            <w:vAlign w:val="center"/>
          </w:tcPr>
          <w:p w14:paraId="2FF63BD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1462903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B385E0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08D693" w14:textId="77777777" w:rsidR="00A72EAE" w:rsidRPr="009C2D9F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 to present submissions  – admin tribunals – </w:t>
            </w:r>
            <w:r>
              <w:rPr>
                <w:rFonts w:ascii="Arial Narrow Italic" w:hAnsi="Arial Narrow Italic"/>
                <w:sz w:val="20"/>
              </w:rPr>
              <w:t xml:space="preserve">SPPA </w:t>
            </w:r>
            <w:r>
              <w:rPr>
                <w:rFonts w:ascii="Arial Narrow" w:hAnsi="Arial Narrow"/>
                <w:sz w:val="20"/>
              </w:rPr>
              <w:t>s. 10.1(a)</w:t>
            </w:r>
          </w:p>
        </w:tc>
        <w:tc>
          <w:tcPr>
            <w:tcW w:w="510" w:type="dxa"/>
            <w:vAlign w:val="center"/>
          </w:tcPr>
          <w:p w14:paraId="711CB9B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60C918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DC1136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C7C3F5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Rights upon arrest, including </w:t>
            </w:r>
            <w:r>
              <w:rPr>
                <w:rFonts w:ascii="Arial Narrow Italic" w:hAnsi="Arial Narrow Italic"/>
                <w:sz w:val="20"/>
              </w:rPr>
              <w:t>habeas corpus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10</w:t>
            </w:r>
          </w:p>
        </w:tc>
        <w:tc>
          <w:tcPr>
            <w:tcW w:w="510" w:type="dxa"/>
            <w:vAlign w:val="center"/>
          </w:tcPr>
          <w:p w14:paraId="6596855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5A85E57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C92C33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11EB9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Rio Tinto Alcan v. Carrier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Sekani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Tribal Council</w:t>
            </w:r>
            <w:r>
              <w:rPr>
                <w:rFonts w:ascii="Arial Narrow" w:hAnsi="Arial Narrow"/>
                <w:sz w:val="20"/>
              </w:rPr>
              <w:t xml:space="preserve"> – Aboriginal rights – duty to consult</w:t>
            </w:r>
          </w:p>
        </w:tc>
        <w:tc>
          <w:tcPr>
            <w:tcW w:w="510" w:type="dxa"/>
            <w:vAlign w:val="center"/>
          </w:tcPr>
          <w:p w14:paraId="71891C1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340846D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CDC9AA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58847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Royal fiat – Aboriginal rights – claims predating </w:t>
            </w:r>
            <w:r>
              <w:rPr>
                <w:rFonts w:ascii="Arial Narrow Italic" w:hAnsi="Arial Narrow Italic"/>
                <w:sz w:val="20"/>
              </w:rPr>
              <w:t>Proceedings Against the Crown Act, 1962-63</w:t>
            </w:r>
          </w:p>
        </w:tc>
        <w:tc>
          <w:tcPr>
            <w:tcW w:w="510" w:type="dxa"/>
            <w:vAlign w:val="center"/>
          </w:tcPr>
          <w:p w14:paraId="0FDE1DB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5726216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121821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624D207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S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D9A319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F6CEF3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5367644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D87C0C2" w14:textId="77777777" w:rsidR="00A72EAE" w:rsidRPr="00B1005D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Schachter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breach –remedies cannot be considered in isolation</w:t>
            </w:r>
          </w:p>
        </w:tc>
        <w:tc>
          <w:tcPr>
            <w:tcW w:w="510" w:type="dxa"/>
            <w:vAlign w:val="center"/>
          </w:tcPr>
          <w:p w14:paraId="3BFAB29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591</w:t>
            </w:r>
          </w:p>
        </w:tc>
        <w:tc>
          <w:tcPr>
            <w:tcW w:w="427" w:type="dxa"/>
            <w:vAlign w:val="center"/>
          </w:tcPr>
          <w:p w14:paraId="1BA2E63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833B92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7F3237" w14:textId="77777777" w:rsidR="00A72EAE" w:rsidRPr="009C550B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Schachter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" w:hAnsi="Arial Narrow"/>
                <w:i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s. 52 – reading in and reading down; severance</w:t>
            </w:r>
          </w:p>
        </w:tc>
        <w:tc>
          <w:tcPr>
            <w:tcW w:w="510" w:type="dxa"/>
            <w:vAlign w:val="center"/>
          </w:tcPr>
          <w:p w14:paraId="6AB63ED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6C94EC2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F425F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3520CA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and treaty rights – constitutional recognition – </w:t>
            </w:r>
            <w:r>
              <w:rPr>
                <w:rFonts w:ascii="Arial Narrow Italic" w:hAnsi="Arial Narrow Italic"/>
                <w:sz w:val="20"/>
              </w:rPr>
              <w:t>SEE also “Aboriginal rights”</w:t>
            </w:r>
          </w:p>
        </w:tc>
        <w:tc>
          <w:tcPr>
            <w:tcW w:w="510" w:type="dxa"/>
            <w:vAlign w:val="center"/>
          </w:tcPr>
          <w:p w14:paraId="5DBCC2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2D75120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DDECE8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061341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Section 35 – Aboriginal rights – what is protected</w:t>
            </w:r>
          </w:p>
        </w:tc>
        <w:tc>
          <w:tcPr>
            <w:tcW w:w="510" w:type="dxa"/>
            <w:vAlign w:val="center"/>
          </w:tcPr>
          <w:p w14:paraId="1C17B49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5476D53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793DE4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A64E0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rights and the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notwithstanding clause</w:t>
            </w:r>
          </w:p>
        </w:tc>
        <w:tc>
          <w:tcPr>
            <w:tcW w:w="510" w:type="dxa"/>
            <w:vAlign w:val="center"/>
          </w:tcPr>
          <w:p w14:paraId="620BA6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74060FA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E5729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C3047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rights and the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s. 1 does not apply</w:t>
            </w:r>
          </w:p>
        </w:tc>
        <w:tc>
          <w:tcPr>
            <w:tcW w:w="510" w:type="dxa"/>
            <w:vAlign w:val="center"/>
          </w:tcPr>
          <w:p w14:paraId="4A8F055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6BCC0E8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7817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0DC9A7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Section 35 – Aboriginal rights and the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– s. 35 rights vs.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 xml:space="preserve">rights </w:t>
            </w:r>
          </w:p>
        </w:tc>
        <w:tc>
          <w:tcPr>
            <w:tcW w:w="510" w:type="dxa"/>
            <w:vAlign w:val="center"/>
          </w:tcPr>
          <w:p w14:paraId="6A1E30E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2346E2D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3F825A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731716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Self-incrimination – admin tribunals – witnesses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14</w:t>
            </w:r>
          </w:p>
        </w:tc>
        <w:tc>
          <w:tcPr>
            <w:tcW w:w="510" w:type="dxa"/>
            <w:vAlign w:val="center"/>
          </w:tcPr>
          <w:p w14:paraId="2ED8A51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4841EB9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98CE2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CA103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Sentencing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12 – cruel and unusual treatment or punishment</w:t>
            </w:r>
          </w:p>
        </w:tc>
        <w:tc>
          <w:tcPr>
            <w:tcW w:w="510" w:type="dxa"/>
            <w:vAlign w:val="center"/>
          </w:tcPr>
          <w:p w14:paraId="3FDC50C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021339B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AC4571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F2AB23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Service Employees Int’l Union (Re)</w:t>
            </w:r>
            <w:r>
              <w:rPr>
                <w:rFonts w:ascii="Arial Narrow" w:hAnsi="Arial Narrow"/>
                <w:sz w:val="20"/>
              </w:rPr>
              <w:t xml:space="preserve"> – constitutional matters – limits on </w:t>
            </w:r>
            <w:proofErr w:type="spellStart"/>
            <w:r>
              <w:rPr>
                <w:rFonts w:ascii="Arial Narrow" w:hAnsi="Arial Narrow"/>
                <w:sz w:val="20"/>
              </w:rPr>
              <w:t>Div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Court jurisdiction</w:t>
            </w:r>
          </w:p>
        </w:tc>
        <w:tc>
          <w:tcPr>
            <w:tcW w:w="510" w:type="dxa"/>
            <w:vAlign w:val="center"/>
          </w:tcPr>
          <w:p w14:paraId="44041AA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596</w:t>
            </w:r>
          </w:p>
        </w:tc>
        <w:tc>
          <w:tcPr>
            <w:tcW w:w="427" w:type="dxa"/>
            <w:vAlign w:val="center"/>
          </w:tcPr>
          <w:p w14:paraId="6C808D9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1341D2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94DA54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Severance </w:t>
            </w:r>
            <w:r>
              <w:rPr>
                <w:rFonts w:ascii="Arial Narrow Italic" w:hAnsi="Arial Narrow Italic"/>
                <w:sz w:val="20"/>
              </w:rPr>
              <w:t>–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32C9ACA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7DF0FD5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CCA262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4ED7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Shaw v. Phipps</w:t>
            </w:r>
            <w:r>
              <w:rPr>
                <w:rFonts w:ascii="Arial Narrow" w:hAnsi="Arial Narrow"/>
                <w:sz w:val="20"/>
              </w:rPr>
              <w:t xml:space="preserve"> – standard of review – deference when standard is reasonableness or patent unreasonableness</w:t>
            </w:r>
          </w:p>
        </w:tc>
        <w:tc>
          <w:tcPr>
            <w:tcW w:w="510" w:type="dxa"/>
            <w:vAlign w:val="center"/>
          </w:tcPr>
          <w:p w14:paraId="56B9B8A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2DECB43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2D9B64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2276CC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Simon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>– Aboriginal treaty rights include incidental rights</w:t>
            </w:r>
          </w:p>
        </w:tc>
        <w:tc>
          <w:tcPr>
            <w:tcW w:w="510" w:type="dxa"/>
            <w:vAlign w:val="center"/>
          </w:tcPr>
          <w:p w14:paraId="5D8505C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533C7EC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02C90B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32649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SM v. Ontario</w:t>
            </w:r>
            <w:r>
              <w:rPr>
                <w:rFonts w:ascii="Arial Narrow" w:hAnsi="Arial Narrow"/>
                <w:sz w:val="20"/>
              </w:rPr>
              <w:t xml:space="preserve"> – Aboriginal rights – royal fiat</w:t>
            </w:r>
          </w:p>
        </w:tc>
        <w:tc>
          <w:tcPr>
            <w:tcW w:w="510" w:type="dxa"/>
            <w:vAlign w:val="center"/>
          </w:tcPr>
          <w:p w14:paraId="7948A69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604</w:t>
            </w:r>
          </w:p>
        </w:tc>
        <w:tc>
          <w:tcPr>
            <w:tcW w:w="427" w:type="dxa"/>
            <w:vAlign w:val="center"/>
          </w:tcPr>
          <w:p w14:paraId="732B536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968C56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B933D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Source of decision-making power – delegated </w:t>
            </w:r>
            <w:r>
              <w:rPr>
                <w:rFonts w:ascii="Arial Narrow" w:hAnsi="Arial Narrow"/>
                <w:sz w:val="20"/>
              </w:rPr>
              <w:lastRenderedPageBreak/>
              <w:t>power</w:t>
            </w:r>
          </w:p>
        </w:tc>
        <w:tc>
          <w:tcPr>
            <w:tcW w:w="510" w:type="dxa"/>
            <w:vAlign w:val="center"/>
          </w:tcPr>
          <w:p w14:paraId="6405C99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543</w:t>
            </w:r>
          </w:p>
        </w:tc>
        <w:tc>
          <w:tcPr>
            <w:tcW w:w="427" w:type="dxa"/>
            <w:vAlign w:val="center"/>
          </w:tcPr>
          <w:p w14:paraId="4D14936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52DAC7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36A674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lastRenderedPageBreak/>
              <w:t>Sparrow (R. v.</w:t>
            </w:r>
            <w:r>
              <w:rPr>
                <w:rFonts w:ascii="Arial Narrow" w:hAnsi="Arial Narrow"/>
                <w:sz w:val="20"/>
              </w:rPr>
              <w:t>) – aboriginal rights – infringement and justification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408B4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CF81AE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036B41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43F590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 Italic" w:hAnsi="Arial Narrow Bold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ADR – admin tribunals (s. 4.8)</w:t>
            </w:r>
          </w:p>
        </w:tc>
        <w:tc>
          <w:tcPr>
            <w:tcW w:w="510" w:type="dxa"/>
            <w:vAlign w:val="center"/>
          </w:tcPr>
          <w:p w14:paraId="0D475A0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05559B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E1873F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A8177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application – express exclusion (s. 3(2))</w:t>
            </w:r>
          </w:p>
        </w:tc>
        <w:tc>
          <w:tcPr>
            <w:tcW w:w="510" w:type="dxa"/>
            <w:vAlign w:val="center"/>
          </w:tcPr>
          <w:p w14:paraId="04984D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61E6CB7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BB8496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268FF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application – test for (s. 3(1))</w:t>
            </w:r>
          </w:p>
        </w:tc>
        <w:tc>
          <w:tcPr>
            <w:tcW w:w="510" w:type="dxa"/>
            <w:vAlign w:val="center"/>
          </w:tcPr>
          <w:p w14:paraId="516EF07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80B11D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A4BB7C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7E6097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decisions – delivery to parties (s. 18)</w:t>
            </w:r>
          </w:p>
        </w:tc>
        <w:tc>
          <w:tcPr>
            <w:tcW w:w="510" w:type="dxa"/>
            <w:vAlign w:val="center"/>
          </w:tcPr>
          <w:p w14:paraId="4F068B9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492562C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D5C793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5D6F3D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decisions – error correction (s. 21.1)</w:t>
            </w:r>
          </w:p>
        </w:tc>
        <w:tc>
          <w:tcPr>
            <w:tcW w:w="510" w:type="dxa"/>
            <w:vAlign w:val="center"/>
          </w:tcPr>
          <w:p w14:paraId="225533B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554</w:t>
            </w:r>
          </w:p>
        </w:tc>
        <w:tc>
          <w:tcPr>
            <w:tcW w:w="427" w:type="dxa"/>
            <w:vAlign w:val="center"/>
          </w:tcPr>
          <w:p w14:paraId="39AD6DD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8DE4B1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FA3538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electronic hearings – generally open to public</w:t>
            </w:r>
          </w:p>
        </w:tc>
        <w:tc>
          <w:tcPr>
            <w:tcW w:w="510" w:type="dxa"/>
            <w:vAlign w:val="center"/>
          </w:tcPr>
          <w:p w14:paraId="67C92BE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2BA5208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65930D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2F4707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electronic hearings (s. 5.2)</w:t>
            </w:r>
          </w:p>
        </w:tc>
        <w:tc>
          <w:tcPr>
            <w:tcW w:w="510" w:type="dxa"/>
            <w:vAlign w:val="center"/>
          </w:tcPr>
          <w:p w14:paraId="768BC32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6ACB5A6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CE07E8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B44E5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evidence – judicial notice (s. 16)</w:t>
            </w:r>
          </w:p>
        </w:tc>
        <w:tc>
          <w:tcPr>
            <w:tcW w:w="510" w:type="dxa"/>
            <w:vAlign w:val="center"/>
          </w:tcPr>
          <w:p w14:paraId="7E2E91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5B9BA39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C6F11D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B63A9C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evidence – relaxed threshold for admission (s. 15)</w:t>
            </w:r>
          </w:p>
        </w:tc>
        <w:tc>
          <w:tcPr>
            <w:tcW w:w="510" w:type="dxa"/>
            <w:vAlign w:val="center"/>
          </w:tcPr>
          <w:p w14:paraId="49745CB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10154E7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9AAC08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0CB90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interim orders or decisions (s.16.1)</w:t>
            </w:r>
          </w:p>
        </w:tc>
        <w:tc>
          <w:tcPr>
            <w:tcW w:w="510" w:type="dxa"/>
            <w:vAlign w:val="center"/>
          </w:tcPr>
          <w:p w14:paraId="3F2228E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1C8872D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483A3E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6A7EE4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issuing summons to compel witness (s. 12)</w:t>
            </w:r>
          </w:p>
        </w:tc>
        <w:tc>
          <w:tcPr>
            <w:tcW w:w="510" w:type="dxa"/>
            <w:vAlign w:val="center"/>
          </w:tcPr>
          <w:p w14:paraId="536C01D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18F60D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040240B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338F6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motions – considerations in deciding to bring a motion</w:t>
            </w:r>
          </w:p>
        </w:tc>
        <w:tc>
          <w:tcPr>
            <w:tcW w:w="510" w:type="dxa"/>
            <w:vAlign w:val="center"/>
          </w:tcPr>
          <w:p w14:paraId="7A12903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53316E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823DED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57940B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motions – procedure</w:t>
            </w:r>
          </w:p>
        </w:tc>
        <w:tc>
          <w:tcPr>
            <w:tcW w:w="510" w:type="dxa"/>
            <w:vAlign w:val="center"/>
          </w:tcPr>
          <w:p w14:paraId="77B4619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5E1148D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47BDA8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32867D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operation of</w:t>
            </w:r>
          </w:p>
        </w:tc>
        <w:tc>
          <w:tcPr>
            <w:tcW w:w="510" w:type="dxa"/>
            <w:vAlign w:val="center"/>
          </w:tcPr>
          <w:p w14:paraId="7024BAD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C2076D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69FD5A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7ACD9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oral hearings – open to public (s. 9)</w:t>
            </w:r>
          </w:p>
        </w:tc>
        <w:tc>
          <w:tcPr>
            <w:tcW w:w="510" w:type="dxa"/>
            <w:vAlign w:val="center"/>
          </w:tcPr>
          <w:p w14:paraId="782D4F2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D42616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466D5A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D55AA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procedural rights</w:t>
            </w:r>
          </w:p>
        </w:tc>
        <w:tc>
          <w:tcPr>
            <w:tcW w:w="510" w:type="dxa"/>
            <w:vAlign w:val="center"/>
          </w:tcPr>
          <w:p w14:paraId="500304B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544</w:t>
            </w:r>
          </w:p>
        </w:tc>
        <w:tc>
          <w:tcPr>
            <w:tcW w:w="427" w:type="dxa"/>
            <w:vAlign w:val="center"/>
          </w:tcPr>
          <w:p w14:paraId="1ED9CB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BCA15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820526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rules – power to make (s. 25.1)</w:t>
            </w:r>
          </w:p>
        </w:tc>
        <w:tc>
          <w:tcPr>
            <w:tcW w:w="510" w:type="dxa"/>
            <w:vAlign w:val="center"/>
          </w:tcPr>
          <w:p w14:paraId="2B05D2E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9786BB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9B9C50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2AC0DB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rules – regarding costs (s. 17.1)</w:t>
            </w:r>
          </w:p>
        </w:tc>
        <w:tc>
          <w:tcPr>
            <w:tcW w:w="510" w:type="dxa"/>
            <w:vAlign w:val="center"/>
          </w:tcPr>
          <w:p w14:paraId="2D96EB9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551</w:t>
            </w:r>
          </w:p>
        </w:tc>
        <w:tc>
          <w:tcPr>
            <w:tcW w:w="427" w:type="dxa"/>
            <w:vAlign w:val="center"/>
          </w:tcPr>
          <w:p w14:paraId="11D9C07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A4D2EA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6C7E2E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witnesses’ rights</w:t>
            </w:r>
          </w:p>
        </w:tc>
        <w:tc>
          <w:tcPr>
            <w:tcW w:w="510" w:type="dxa"/>
            <w:vAlign w:val="center"/>
          </w:tcPr>
          <w:p w14:paraId="0D577C9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7053CF8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4DC68D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E02C65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– written hearings (s. 5.1)</w:t>
            </w:r>
          </w:p>
        </w:tc>
        <w:tc>
          <w:tcPr>
            <w:tcW w:w="510" w:type="dxa"/>
            <w:vAlign w:val="center"/>
          </w:tcPr>
          <w:p w14:paraId="2B80722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79A89EA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69327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6AF65C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>Standard of review –</w:t>
            </w:r>
            <w:r>
              <w:rPr>
                <w:rFonts w:ascii="Arial Narrow" w:hAnsi="Arial Narrow"/>
                <w:sz w:val="20"/>
              </w:rPr>
              <w:t xml:space="preserve"> deference when standard is reasonableness – </w:t>
            </w: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Khosa</w:t>
            </w:r>
            <w:proofErr w:type="spellEnd"/>
            <w:r>
              <w:rPr>
                <w:rFonts w:ascii="Arial Narrow Italic" w:hAnsi="Arial Narrow Italic"/>
                <w:sz w:val="20"/>
              </w:rPr>
              <w:t>, Shaw v. Phipps</w:t>
            </w:r>
          </w:p>
        </w:tc>
        <w:tc>
          <w:tcPr>
            <w:tcW w:w="510" w:type="dxa"/>
            <w:vAlign w:val="center"/>
          </w:tcPr>
          <w:p w14:paraId="31DFB94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ED32DD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6CC2E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6671D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deference when standard set by statute is patent unreasonableness – </w:t>
            </w:r>
            <w:r>
              <w:rPr>
                <w:rFonts w:ascii="Arial Narrow Italic" w:hAnsi="Arial Narrow Italic"/>
                <w:sz w:val="20"/>
              </w:rPr>
              <w:t xml:space="preserve">Canada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Khosa</w:t>
            </w:r>
            <w:proofErr w:type="spellEnd"/>
          </w:p>
        </w:tc>
        <w:tc>
          <w:tcPr>
            <w:tcW w:w="510" w:type="dxa"/>
            <w:vAlign w:val="center"/>
          </w:tcPr>
          <w:p w14:paraId="6329217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3BF5911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097636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2B085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determine before assessing decision – </w:t>
            </w:r>
            <w:r>
              <w:rPr>
                <w:rFonts w:ascii="Arial Narrow Italic" w:hAnsi="Arial Narrow Italic"/>
                <w:sz w:val="20"/>
              </w:rPr>
              <w:t>Voice Construction</w:t>
            </w:r>
          </w:p>
        </w:tc>
        <w:tc>
          <w:tcPr>
            <w:tcW w:w="510" w:type="dxa"/>
            <w:vAlign w:val="center"/>
          </w:tcPr>
          <w:p w14:paraId="77ECDEF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5322A8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2C521E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ACE1E4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</w:t>
            </w:r>
          </w:p>
        </w:tc>
        <w:tc>
          <w:tcPr>
            <w:tcW w:w="510" w:type="dxa"/>
            <w:vAlign w:val="center"/>
          </w:tcPr>
          <w:p w14:paraId="606C167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556</w:t>
            </w:r>
          </w:p>
        </w:tc>
        <w:tc>
          <w:tcPr>
            <w:tcW w:w="427" w:type="dxa"/>
            <w:vAlign w:val="center"/>
          </w:tcPr>
          <w:p w14:paraId="2DA6603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22740A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B2563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categories that attract standard of correctness</w:t>
            </w:r>
          </w:p>
        </w:tc>
        <w:tc>
          <w:tcPr>
            <w:tcW w:w="510" w:type="dxa"/>
            <w:vAlign w:val="center"/>
          </w:tcPr>
          <w:p w14:paraId="37A13CE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3FAAAFC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7A006B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6E8708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categories that attract standard of reasonableness</w:t>
            </w:r>
          </w:p>
        </w:tc>
        <w:tc>
          <w:tcPr>
            <w:tcW w:w="510" w:type="dxa"/>
            <w:vAlign w:val="center"/>
          </w:tcPr>
          <w:p w14:paraId="1E31E2C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7AD5D02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3AEC9D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12DA4E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definition of “correctness”</w:t>
            </w:r>
          </w:p>
        </w:tc>
        <w:tc>
          <w:tcPr>
            <w:tcW w:w="510" w:type="dxa"/>
            <w:vAlign w:val="center"/>
          </w:tcPr>
          <w:p w14:paraId="5F1CA58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690659C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53C0B2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381E67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definition of “reasonableness”</w:t>
            </w:r>
          </w:p>
        </w:tc>
        <w:tc>
          <w:tcPr>
            <w:tcW w:w="510" w:type="dxa"/>
            <w:vAlign w:val="center"/>
          </w:tcPr>
          <w:p w14:paraId="3973474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16819BA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F1593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84188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determining appropriate standard – prior to</w:t>
            </w:r>
            <w:r>
              <w:rPr>
                <w:rFonts w:ascii="Arial Narrow Italic" w:hAnsi="Arial Narrow Italic"/>
                <w:sz w:val="20"/>
              </w:rPr>
              <w:t xml:space="preserve"> Dunsmuir</w:t>
            </w:r>
            <w:r>
              <w:rPr>
                <w:rFonts w:ascii="Arial Narrow" w:hAnsi="Arial Narrow"/>
                <w:sz w:val="20"/>
              </w:rPr>
              <w:t xml:space="preserve"> –pragmatic and functional approach </w:t>
            </w:r>
          </w:p>
        </w:tc>
        <w:tc>
          <w:tcPr>
            <w:tcW w:w="510" w:type="dxa"/>
            <w:vAlign w:val="center"/>
          </w:tcPr>
          <w:p w14:paraId="45ADD29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3874420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C3CF8F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9D7055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Standard of review – JR – existing jurisprudence – nature of Q and DM</w:t>
            </w:r>
          </w:p>
        </w:tc>
        <w:tc>
          <w:tcPr>
            <w:tcW w:w="510" w:type="dxa"/>
            <w:vAlign w:val="center"/>
          </w:tcPr>
          <w:p w14:paraId="28F3C17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2A514E7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5B1127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27D04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(1) nature of question</w:t>
            </w:r>
          </w:p>
        </w:tc>
        <w:tc>
          <w:tcPr>
            <w:tcW w:w="510" w:type="dxa"/>
            <w:vAlign w:val="center"/>
          </w:tcPr>
          <w:p w14:paraId="046D341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557</w:t>
            </w:r>
          </w:p>
        </w:tc>
        <w:tc>
          <w:tcPr>
            <w:tcW w:w="427" w:type="dxa"/>
            <w:vAlign w:val="center"/>
          </w:tcPr>
          <w:p w14:paraId="6C7528F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A80FCAC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51E932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(2) privative clause</w:t>
            </w:r>
          </w:p>
        </w:tc>
        <w:tc>
          <w:tcPr>
            <w:tcW w:w="510" w:type="dxa"/>
            <w:vAlign w:val="center"/>
          </w:tcPr>
          <w:p w14:paraId="10FF5DC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2FBCD69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E7C15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16A5DE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(3) expertise of tribunal</w:t>
            </w:r>
          </w:p>
        </w:tc>
        <w:tc>
          <w:tcPr>
            <w:tcW w:w="510" w:type="dxa"/>
            <w:vAlign w:val="center"/>
          </w:tcPr>
          <w:p w14:paraId="28A2284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6FF0548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704128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2F1220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factors – (4) purpose of tribunal and enabling statute</w:t>
            </w:r>
          </w:p>
        </w:tc>
        <w:tc>
          <w:tcPr>
            <w:tcW w:w="510" w:type="dxa"/>
            <w:vAlign w:val="center"/>
          </w:tcPr>
          <w:p w14:paraId="57B2AD3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7CAC3F4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9F15C8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248BF5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Standard of review – JR – questions of fact or policy vs. issues of law</w:t>
            </w:r>
          </w:p>
        </w:tc>
        <w:tc>
          <w:tcPr>
            <w:tcW w:w="510" w:type="dxa"/>
            <w:vAlign w:val="center"/>
          </w:tcPr>
          <w:p w14:paraId="6BE1E3F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53F2855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AB2685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B767FC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JR – summary of </w:t>
            </w:r>
            <w:r>
              <w:rPr>
                <w:rFonts w:ascii="Arial Narrow Italic" w:hAnsi="Arial Narrow Italic"/>
                <w:sz w:val="20"/>
              </w:rPr>
              <w:t>Dunsmuir</w:t>
            </w:r>
            <w:r>
              <w:rPr>
                <w:rFonts w:ascii="Arial Narrow" w:hAnsi="Arial Narrow"/>
                <w:sz w:val="20"/>
              </w:rPr>
              <w:t xml:space="preserve"> test</w:t>
            </w:r>
          </w:p>
        </w:tc>
        <w:tc>
          <w:tcPr>
            <w:tcW w:w="510" w:type="dxa"/>
            <w:vAlign w:val="center"/>
          </w:tcPr>
          <w:p w14:paraId="6C11CB7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558</w:t>
            </w:r>
          </w:p>
        </w:tc>
        <w:tc>
          <w:tcPr>
            <w:tcW w:w="427" w:type="dxa"/>
            <w:vAlign w:val="center"/>
          </w:tcPr>
          <w:p w14:paraId="01B8697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DDDE74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959022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 of review – on appeal – </w:t>
            </w:r>
            <w:proofErr w:type="spellStart"/>
            <w:r>
              <w:rPr>
                <w:rFonts w:ascii="Arial Narrow Italic" w:hAnsi="Arial Narrow Italic"/>
                <w:sz w:val="20"/>
              </w:rPr>
              <w:t>Housen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Nikolaisen</w:t>
            </w:r>
            <w:proofErr w:type="spellEnd"/>
          </w:p>
        </w:tc>
        <w:tc>
          <w:tcPr>
            <w:tcW w:w="510" w:type="dxa"/>
            <w:vAlign w:val="center"/>
          </w:tcPr>
          <w:p w14:paraId="76B5A13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555</w:t>
            </w:r>
          </w:p>
        </w:tc>
        <w:tc>
          <w:tcPr>
            <w:tcW w:w="427" w:type="dxa"/>
            <w:vAlign w:val="center"/>
          </w:tcPr>
          <w:p w14:paraId="30F764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A63C94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4FEBC5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Standing – aggrieved person – JR</w:t>
            </w:r>
          </w:p>
        </w:tc>
        <w:tc>
          <w:tcPr>
            <w:tcW w:w="510" w:type="dxa"/>
            <w:vAlign w:val="center"/>
          </w:tcPr>
          <w:p w14:paraId="1B8BB01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58EE55F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B8123A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2CA01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Standing – constitutional litigation – </w:t>
            </w:r>
            <w:r>
              <w:rPr>
                <w:rFonts w:ascii="Arial Narrow Italic" w:hAnsi="Arial Narrow Italic"/>
                <w:sz w:val="20"/>
              </w:rPr>
              <w:t>SEE also “Constitutional procedure – standing”</w:t>
            </w:r>
          </w:p>
        </w:tc>
        <w:tc>
          <w:tcPr>
            <w:tcW w:w="510" w:type="dxa"/>
            <w:vAlign w:val="center"/>
          </w:tcPr>
          <w:p w14:paraId="5807B97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593</w:t>
            </w:r>
          </w:p>
        </w:tc>
        <w:tc>
          <w:tcPr>
            <w:tcW w:w="427" w:type="dxa"/>
            <w:vAlign w:val="center"/>
          </w:tcPr>
          <w:p w14:paraId="3B634CA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98D94F3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442585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Standing – JR – </w:t>
            </w:r>
            <w:r>
              <w:rPr>
                <w:rFonts w:ascii="Arial Narrow Italic" w:hAnsi="Arial Narrow Italic"/>
                <w:sz w:val="20"/>
              </w:rPr>
              <w:t>SEE “JR – standing</w:t>
            </w:r>
            <w:r>
              <w:rPr>
                <w:rFonts w:ascii="Arial Narrow" w:hAnsi="Arial Narrow"/>
                <w:sz w:val="20"/>
              </w:rPr>
              <w:t>”</w:t>
            </w:r>
          </w:p>
        </w:tc>
        <w:tc>
          <w:tcPr>
            <w:tcW w:w="510" w:type="dxa"/>
            <w:vAlign w:val="center"/>
          </w:tcPr>
          <w:p w14:paraId="10451B1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462D0E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6C4294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79815D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Standing – public interest – JR and </w:t>
            </w:r>
            <w:r>
              <w:rPr>
                <w:rFonts w:ascii="Arial Narrow Italic" w:hAnsi="Arial Narrow Italic"/>
                <w:sz w:val="20"/>
              </w:rPr>
              <w:t>Charter</w:t>
            </w:r>
          </w:p>
        </w:tc>
        <w:tc>
          <w:tcPr>
            <w:tcW w:w="510" w:type="dxa"/>
            <w:vAlign w:val="center"/>
          </w:tcPr>
          <w:p w14:paraId="008A40E8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562</w:t>
            </w:r>
          </w:p>
        </w:tc>
        <w:tc>
          <w:tcPr>
            <w:tcW w:w="427" w:type="dxa"/>
            <w:vAlign w:val="center"/>
          </w:tcPr>
          <w:p w14:paraId="52E8C46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BAA5D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E71012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power of decision – admin tribunals – </w:t>
            </w:r>
            <w:r>
              <w:rPr>
                <w:rFonts w:ascii="Arial Narrow Italic" w:hAnsi="Arial Narrow Italic"/>
                <w:sz w:val="20"/>
              </w:rPr>
              <w:t>SEE also SPPA</w:t>
            </w:r>
          </w:p>
        </w:tc>
        <w:tc>
          <w:tcPr>
            <w:tcW w:w="510" w:type="dxa"/>
            <w:vAlign w:val="center"/>
          </w:tcPr>
          <w:p w14:paraId="004720E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3C4D8B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FAC24C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783A2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– obtaining evidence prior to JR under </w:t>
            </w:r>
            <w:r>
              <w:rPr>
                <w:rFonts w:ascii="Arial Narrow Italic" w:hAnsi="Arial Narrow Italic"/>
                <w:sz w:val="20"/>
              </w:rPr>
              <w:t>Freedom of Information and Protection of Privacy Act</w:t>
            </w:r>
          </w:p>
        </w:tc>
        <w:tc>
          <w:tcPr>
            <w:tcW w:w="510" w:type="dxa"/>
            <w:vAlign w:val="center"/>
          </w:tcPr>
          <w:p w14:paraId="3F5B2A4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2770DBC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5C36F5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A0CBF8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Statutory reconsideration – questions guiding possibility of “control” (review or appeal)</w:t>
            </w:r>
          </w:p>
        </w:tc>
        <w:tc>
          <w:tcPr>
            <w:tcW w:w="510" w:type="dxa"/>
            <w:vAlign w:val="center"/>
          </w:tcPr>
          <w:p w14:paraId="561DD1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50ED96E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45567F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594334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Coroners Act</w:t>
            </w:r>
          </w:p>
        </w:tc>
        <w:tc>
          <w:tcPr>
            <w:tcW w:w="510" w:type="dxa"/>
            <w:vAlign w:val="center"/>
          </w:tcPr>
          <w:p w14:paraId="517F10B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12B2117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069E56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B821EC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Human Rights Code</w:t>
            </w:r>
          </w:p>
        </w:tc>
        <w:tc>
          <w:tcPr>
            <w:tcW w:w="510" w:type="dxa"/>
            <w:vAlign w:val="center"/>
          </w:tcPr>
          <w:p w14:paraId="79E2E2DF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102682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57B1BA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91BBD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Legal Aid Services Act, 1998</w:t>
            </w:r>
          </w:p>
        </w:tc>
        <w:tc>
          <w:tcPr>
            <w:tcW w:w="510" w:type="dxa"/>
            <w:vAlign w:val="center"/>
          </w:tcPr>
          <w:p w14:paraId="16E0F04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E6E388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F172D3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EE0F7F7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Ontario Disability Support Program Act, 1997</w:t>
            </w:r>
          </w:p>
        </w:tc>
        <w:tc>
          <w:tcPr>
            <w:tcW w:w="510" w:type="dxa"/>
            <w:vAlign w:val="center"/>
          </w:tcPr>
          <w:p w14:paraId="679582D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6DC9503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70A31F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72E6BB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Statutory reconsideration or appeal – </w:t>
            </w:r>
            <w:r>
              <w:rPr>
                <w:rFonts w:ascii="Arial Narrow Italic" w:hAnsi="Arial Narrow Italic"/>
                <w:sz w:val="20"/>
              </w:rPr>
              <w:t>Residential Tenancies Act, 2006</w:t>
            </w:r>
          </w:p>
        </w:tc>
        <w:tc>
          <w:tcPr>
            <w:tcW w:w="510" w:type="dxa"/>
            <w:vAlign w:val="center"/>
          </w:tcPr>
          <w:p w14:paraId="6AE782C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4E900B3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707253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D2C92E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Statutory right of appeal – examples of</w:t>
            </w:r>
          </w:p>
        </w:tc>
        <w:tc>
          <w:tcPr>
            <w:tcW w:w="510" w:type="dxa"/>
            <w:vAlign w:val="center"/>
          </w:tcPr>
          <w:p w14:paraId="220D43A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71E9F27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356342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2C213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Stay of proceedings – JR – interim relief – </w:t>
            </w:r>
            <w:r>
              <w:rPr>
                <w:rFonts w:ascii="Arial Narrow Italic" w:hAnsi="Arial Narrow Italic"/>
                <w:sz w:val="20"/>
              </w:rPr>
              <w:t>FCA</w:t>
            </w:r>
            <w:r>
              <w:rPr>
                <w:rFonts w:ascii="Arial Narrow" w:hAnsi="Arial Narrow"/>
                <w:sz w:val="20"/>
              </w:rPr>
              <w:t xml:space="preserve"> s. 18.2, </w:t>
            </w:r>
            <w:r>
              <w:rPr>
                <w:rFonts w:ascii="Arial Narrow Italic" w:hAnsi="Arial Narrow Italic"/>
                <w:sz w:val="20"/>
              </w:rPr>
              <w:t>JRPA</w:t>
            </w:r>
            <w:r>
              <w:rPr>
                <w:rFonts w:ascii="Arial Narrow" w:hAnsi="Arial Narrow"/>
                <w:sz w:val="20"/>
              </w:rPr>
              <w:t xml:space="preserve"> s. 4</w:t>
            </w:r>
          </w:p>
        </w:tc>
        <w:tc>
          <w:tcPr>
            <w:tcW w:w="510" w:type="dxa"/>
            <w:vAlign w:val="center"/>
          </w:tcPr>
          <w:p w14:paraId="40036AE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427" w:type="dxa"/>
            <w:vAlign w:val="center"/>
          </w:tcPr>
          <w:p w14:paraId="5E29595D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8D8C1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D1AACAE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Striking down – s. 52 – </w:t>
            </w:r>
            <w:r>
              <w:rPr>
                <w:rFonts w:ascii="Arial Narrow Italic" w:hAnsi="Arial Narrow Italic"/>
                <w:sz w:val="20"/>
              </w:rPr>
              <w:t>SEE “Charter – remedies”</w:t>
            </w:r>
          </w:p>
        </w:tc>
        <w:tc>
          <w:tcPr>
            <w:tcW w:w="510" w:type="dxa"/>
            <w:vAlign w:val="center"/>
          </w:tcPr>
          <w:p w14:paraId="135F6F3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4F399EC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1E572A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145217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Structural Injunctions – Charter Remedies under s. 24 </w:t>
            </w:r>
          </w:p>
        </w:tc>
        <w:tc>
          <w:tcPr>
            <w:tcW w:w="510" w:type="dxa"/>
            <w:vAlign w:val="center"/>
          </w:tcPr>
          <w:p w14:paraId="5422499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587</w:t>
            </w:r>
          </w:p>
        </w:tc>
        <w:tc>
          <w:tcPr>
            <w:tcW w:w="427" w:type="dxa"/>
            <w:vAlign w:val="center"/>
          </w:tcPr>
          <w:p w14:paraId="426D305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0E5C0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A6BFE62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Bold" w:hAnsi="Arial Narrow Bold"/>
                <w:sz w:val="20"/>
              </w:rPr>
              <w:t xml:space="preserve">Substantive review </w:t>
            </w:r>
            <w:r>
              <w:rPr>
                <w:rFonts w:ascii="Arial Narrow" w:hAnsi="Arial Narrow"/>
                <w:sz w:val="20"/>
              </w:rPr>
              <w:t>– JR – errors of admin law permitting judicial intervention</w:t>
            </w:r>
          </w:p>
        </w:tc>
        <w:tc>
          <w:tcPr>
            <w:tcW w:w="510" w:type="dxa"/>
            <w:vAlign w:val="center"/>
          </w:tcPr>
          <w:p w14:paraId="6C0AB25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7169A5E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941987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AED023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general </w:t>
            </w:r>
          </w:p>
        </w:tc>
        <w:tc>
          <w:tcPr>
            <w:tcW w:w="510" w:type="dxa"/>
            <w:vAlign w:val="center"/>
          </w:tcPr>
          <w:p w14:paraId="617A95B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36CEDEA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3E6429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482221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>Substantive review – JR – judicial restraint –</w:t>
            </w:r>
            <w:r>
              <w:rPr>
                <w:rFonts w:ascii="Arial Narrow Italic" w:hAnsi="Arial Narrow Italic"/>
                <w:sz w:val="20"/>
              </w:rPr>
              <w:t>CUPE</w:t>
            </w:r>
          </w:p>
        </w:tc>
        <w:tc>
          <w:tcPr>
            <w:tcW w:w="510" w:type="dxa"/>
            <w:vAlign w:val="center"/>
          </w:tcPr>
          <w:p w14:paraId="2F626336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6C84D17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544D293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3A7756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matter usually remitted </w:t>
            </w:r>
            <w:r>
              <w:rPr>
                <w:rFonts w:ascii="Arial Narrow" w:hAnsi="Arial Narrow"/>
                <w:sz w:val="20"/>
              </w:rPr>
              <w:lastRenderedPageBreak/>
              <w:t>to DM – court does not substitute</w:t>
            </w:r>
          </w:p>
        </w:tc>
        <w:tc>
          <w:tcPr>
            <w:tcW w:w="510" w:type="dxa"/>
            <w:vAlign w:val="center"/>
          </w:tcPr>
          <w:p w14:paraId="6A4EDF8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550</w:t>
            </w:r>
          </w:p>
        </w:tc>
        <w:tc>
          <w:tcPr>
            <w:tcW w:w="427" w:type="dxa"/>
            <w:vAlign w:val="center"/>
          </w:tcPr>
          <w:p w14:paraId="6EE14CD3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149C4C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3433A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Substantive review – JR – modern approach </w:t>
            </w:r>
          </w:p>
        </w:tc>
        <w:tc>
          <w:tcPr>
            <w:tcW w:w="510" w:type="dxa"/>
            <w:vAlign w:val="center"/>
          </w:tcPr>
          <w:p w14:paraId="00AD3D8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111DDA3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B86E9B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60EE63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no remittance to tribunal where result “inevitable” – </w:t>
            </w:r>
            <w:r>
              <w:rPr>
                <w:rFonts w:ascii="Arial Narrow Italic" w:hAnsi="Arial Narrow Italic"/>
                <w:sz w:val="20"/>
              </w:rPr>
              <w:t xml:space="preserve">BC (Workers’ Comp. Board)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Figliola</w:t>
            </w:r>
            <w:proofErr w:type="spellEnd"/>
          </w:p>
        </w:tc>
        <w:tc>
          <w:tcPr>
            <w:tcW w:w="510" w:type="dxa"/>
            <w:vAlign w:val="center"/>
          </w:tcPr>
          <w:p w14:paraId="44A38F8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1C5C79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165AFB8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1C1B12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Substantive review – JR – pragmatic and functional approach (prior to </w:t>
            </w:r>
            <w:r>
              <w:rPr>
                <w:rFonts w:ascii="Arial Narrow Italic" w:hAnsi="Arial Narrow Italic"/>
                <w:sz w:val="20"/>
              </w:rPr>
              <w:t>Dunsmuir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2EB5250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765AD99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4090E2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6F68C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Substantive review – JR – statutory decision-makers acting outside jurisdiction (</w:t>
            </w:r>
            <w:r>
              <w:rPr>
                <w:rFonts w:ascii="Arial Narrow Italic" w:hAnsi="Arial Narrow Italic"/>
                <w:sz w:val="20"/>
              </w:rPr>
              <w:t>ultra vires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3C1400E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6743B0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B0D61D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A6FBD4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Suing the Crown for damages – federal – </w:t>
            </w:r>
            <w:r>
              <w:rPr>
                <w:rFonts w:ascii="Arial Narrow Italic" w:hAnsi="Arial Narrow Italic"/>
                <w:sz w:val="20"/>
              </w:rPr>
              <w:t>Crown Liability and Proceedings Act</w:t>
            </w:r>
          </w:p>
        </w:tc>
        <w:tc>
          <w:tcPr>
            <w:tcW w:w="510" w:type="dxa"/>
            <w:vAlign w:val="center"/>
          </w:tcPr>
          <w:p w14:paraId="6BBC92C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3C5885A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A8D54B0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B704C9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Suing the Crown for damages – provincial – </w:t>
            </w:r>
            <w:r>
              <w:rPr>
                <w:rFonts w:ascii="Arial Narrow Italic" w:hAnsi="Arial Narrow Italic"/>
                <w:sz w:val="20"/>
              </w:rPr>
              <w:t>Proceedings Against the Crown Act</w:t>
            </w:r>
          </w:p>
        </w:tc>
        <w:tc>
          <w:tcPr>
            <w:tcW w:w="510" w:type="dxa"/>
            <w:vAlign w:val="center"/>
          </w:tcPr>
          <w:p w14:paraId="5E3695D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566</w:t>
            </w:r>
          </w:p>
        </w:tc>
        <w:tc>
          <w:tcPr>
            <w:tcW w:w="427" w:type="dxa"/>
            <w:vAlign w:val="center"/>
          </w:tcPr>
          <w:p w14:paraId="6F1E5AC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246900E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AF6E06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Sundown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 Italic" w:hAnsi="Arial Narrow Italic"/>
                <w:sz w:val="20"/>
              </w:rPr>
              <w:t xml:space="preserve">R. v.) </w:t>
            </w:r>
            <w:r>
              <w:rPr>
                <w:rFonts w:ascii="Arial Narrow" w:hAnsi="Arial Narrow"/>
                <w:sz w:val="20"/>
              </w:rPr>
              <w:t>– Aboriginal treaty rights include incidental rights</w:t>
            </w:r>
          </w:p>
        </w:tc>
        <w:tc>
          <w:tcPr>
            <w:tcW w:w="510" w:type="dxa"/>
            <w:vAlign w:val="center"/>
          </w:tcPr>
          <w:p w14:paraId="0C0B514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602</w:t>
            </w:r>
          </w:p>
        </w:tc>
        <w:tc>
          <w:tcPr>
            <w:tcW w:w="427" w:type="dxa"/>
            <w:vAlign w:val="center"/>
          </w:tcPr>
          <w:p w14:paraId="293A727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89CFA5B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8114BD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Superior Court of Justice (ON) – constitutional cases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3A97606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5C594AF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6CB2FB2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93D6A18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Superior courts (provincial) – constitutional cases – </w:t>
            </w:r>
            <w:r>
              <w:rPr>
                <w:rFonts w:ascii="Arial Narrow Italic" w:hAnsi="Arial Narrow Italic"/>
                <w:sz w:val="20"/>
              </w:rPr>
              <w:t>SEE “Constitutional procedure – superior courts”</w:t>
            </w:r>
          </w:p>
        </w:tc>
        <w:tc>
          <w:tcPr>
            <w:tcW w:w="510" w:type="dxa"/>
            <w:vAlign w:val="center"/>
          </w:tcPr>
          <w:p w14:paraId="741C104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594</w:t>
            </w:r>
          </w:p>
        </w:tc>
        <w:tc>
          <w:tcPr>
            <w:tcW w:w="427" w:type="dxa"/>
            <w:vAlign w:val="center"/>
          </w:tcPr>
          <w:p w14:paraId="73A973C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2D72391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7BF1A57D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T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066A6D9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D1B7EA9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5FA8CE9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27C317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Taku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River Tlingit FN v. BC </w:t>
            </w:r>
            <w:r>
              <w:rPr>
                <w:rFonts w:ascii="Arial Narrow" w:hAnsi="Arial Narrow"/>
                <w:sz w:val="20"/>
              </w:rPr>
              <w:t>– Aboriginal rights – duty to consult</w:t>
            </w:r>
          </w:p>
        </w:tc>
        <w:tc>
          <w:tcPr>
            <w:tcW w:w="510" w:type="dxa"/>
            <w:vAlign w:val="center"/>
          </w:tcPr>
          <w:p w14:paraId="618185A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603</w:t>
            </w:r>
          </w:p>
        </w:tc>
        <w:tc>
          <w:tcPr>
            <w:tcW w:w="427" w:type="dxa"/>
            <w:vAlign w:val="center"/>
          </w:tcPr>
          <w:p w14:paraId="40F0599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1CEABF0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C8940C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Thomson Newspapers v. Canada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section 1 – proportionality</w:t>
            </w:r>
          </w:p>
        </w:tc>
        <w:tc>
          <w:tcPr>
            <w:tcW w:w="510" w:type="dxa"/>
            <w:vAlign w:val="center"/>
          </w:tcPr>
          <w:p w14:paraId="28879EB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585</w:t>
            </w:r>
          </w:p>
        </w:tc>
        <w:tc>
          <w:tcPr>
            <w:tcW w:w="427" w:type="dxa"/>
            <w:vAlign w:val="center"/>
          </w:tcPr>
          <w:p w14:paraId="75DF91D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CAE67B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4AEFB74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ON </w:t>
            </w:r>
            <w:r>
              <w:rPr>
                <w:rFonts w:ascii="Arial Narrow" w:hAnsi="Arial Narrow"/>
                <w:sz w:val="20"/>
              </w:rPr>
              <w:t>– admin tribunals – jurisdiction to consider questions of law, incl. constitutional questions</w:t>
            </w:r>
          </w:p>
        </w:tc>
        <w:tc>
          <w:tcPr>
            <w:tcW w:w="510" w:type="dxa"/>
            <w:vAlign w:val="center"/>
          </w:tcPr>
          <w:p w14:paraId="77F18CC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08B2568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7DE8C7C8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9CD95D3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Trachemontagne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ON </w:t>
            </w:r>
            <w:r>
              <w:rPr>
                <w:rFonts w:ascii="Arial Narrow" w:hAnsi="Arial Narrow"/>
                <w:sz w:val="20"/>
              </w:rPr>
              <w:t>– admin tribunals – jurisdiction to consider human rights legislation</w:t>
            </w:r>
          </w:p>
        </w:tc>
        <w:tc>
          <w:tcPr>
            <w:tcW w:w="510" w:type="dxa"/>
            <w:vAlign w:val="center"/>
          </w:tcPr>
          <w:p w14:paraId="2EF977E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598</w:t>
            </w:r>
          </w:p>
        </w:tc>
        <w:tc>
          <w:tcPr>
            <w:tcW w:w="427" w:type="dxa"/>
            <w:vAlign w:val="center"/>
          </w:tcPr>
          <w:p w14:paraId="337A826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10F205A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6455038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U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C236B4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5D6809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28AA16C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C59093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UES, Local 298 v. </w:t>
            </w:r>
            <w:proofErr w:type="spellStart"/>
            <w:r>
              <w:rPr>
                <w:rFonts w:ascii="Arial Narrow Italic" w:hAnsi="Arial Narrow Italic"/>
                <w:sz w:val="20"/>
              </w:rPr>
              <w:t>Bibeault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substantive review – pragmatic and functional approach</w:t>
            </w:r>
          </w:p>
        </w:tc>
        <w:tc>
          <w:tcPr>
            <w:tcW w:w="510" w:type="dxa"/>
            <w:vAlign w:val="center"/>
          </w:tcPr>
          <w:p w14:paraId="0EC2773E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55654237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490FDF7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0382E6D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Ultra vires</w:t>
            </w:r>
            <w:r>
              <w:rPr>
                <w:rFonts w:ascii="Arial Narrow" w:hAnsi="Arial Narrow"/>
                <w:sz w:val="20"/>
              </w:rPr>
              <w:t xml:space="preserve"> – statutory decision-makers acting outside jurisdiction</w:t>
            </w:r>
          </w:p>
        </w:tc>
        <w:tc>
          <w:tcPr>
            <w:tcW w:w="510" w:type="dxa"/>
            <w:vAlign w:val="center"/>
          </w:tcPr>
          <w:p w14:paraId="2659E18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612E5215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7FE73A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0FDEC3F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Unreasonable search and seizure –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s. 8</w:t>
            </w:r>
          </w:p>
        </w:tc>
        <w:tc>
          <w:tcPr>
            <w:tcW w:w="510" w:type="dxa"/>
            <w:vAlign w:val="center"/>
          </w:tcPr>
          <w:p w14:paraId="285CEFF3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583</w:t>
            </w:r>
          </w:p>
        </w:tc>
        <w:tc>
          <w:tcPr>
            <w:tcW w:w="427" w:type="dxa"/>
            <w:vAlign w:val="center"/>
          </w:tcPr>
          <w:p w14:paraId="106E069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70F1F98A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27A7ABBE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V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67460A0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9ABDAB4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78E2134D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DFF0E4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Van der </w:t>
            </w:r>
            <w:proofErr w:type="spellStart"/>
            <w:r>
              <w:rPr>
                <w:rFonts w:ascii="Arial Narrow Italic" w:hAnsi="Arial Narrow Italic"/>
                <w:sz w:val="20"/>
              </w:rPr>
              <w:t>Peet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 Italic" w:hAnsi="Arial Narrow Italic"/>
                <w:sz w:val="20"/>
              </w:rPr>
              <w:t xml:space="preserve">(R. v.) </w:t>
            </w:r>
            <w:r>
              <w:rPr>
                <w:rFonts w:ascii="Arial Narrow" w:hAnsi="Arial Narrow"/>
                <w:sz w:val="20"/>
              </w:rPr>
              <w:t xml:space="preserve">– Aboriginal rights – test for identifying Aboriginal rights </w:t>
            </w:r>
          </w:p>
        </w:tc>
        <w:tc>
          <w:tcPr>
            <w:tcW w:w="510" w:type="dxa"/>
            <w:vAlign w:val="center"/>
          </w:tcPr>
          <w:p w14:paraId="0CD3B042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601</w:t>
            </w:r>
          </w:p>
        </w:tc>
        <w:tc>
          <w:tcPr>
            <w:tcW w:w="427" w:type="dxa"/>
            <w:vAlign w:val="center"/>
          </w:tcPr>
          <w:p w14:paraId="301D8E1F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4890CE1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140B5B3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Vancouver (City) v. Ward </w:t>
            </w:r>
            <w:r>
              <w:rPr>
                <w:rFonts w:ascii="Arial Narrow" w:hAnsi="Arial Narrow"/>
                <w:sz w:val="20"/>
              </w:rPr>
              <w:t xml:space="preserve">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bad faith not necessary to award damages</w:t>
            </w:r>
          </w:p>
        </w:tc>
        <w:tc>
          <w:tcPr>
            <w:tcW w:w="510" w:type="dxa"/>
            <w:vAlign w:val="center"/>
          </w:tcPr>
          <w:p w14:paraId="12B762EA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588</w:t>
            </w:r>
          </w:p>
        </w:tc>
        <w:tc>
          <w:tcPr>
            <w:tcW w:w="427" w:type="dxa"/>
            <w:vAlign w:val="center"/>
          </w:tcPr>
          <w:p w14:paraId="205A703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5F4E7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763E5051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Voice Construction Ltd. </w:t>
            </w:r>
            <w:r>
              <w:rPr>
                <w:rFonts w:ascii="Arial Narrow" w:hAnsi="Arial Narrow"/>
                <w:sz w:val="20"/>
              </w:rPr>
              <w:t>– standard of review – determine before assessing decision</w:t>
            </w:r>
          </w:p>
        </w:tc>
        <w:tc>
          <w:tcPr>
            <w:tcW w:w="510" w:type="dxa"/>
            <w:vAlign w:val="center"/>
          </w:tcPr>
          <w:p w14:paraId="4F9C341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</w:t>
            </w:r>
          </w:p>
        </w:tc>
        <w:tc>
          <w:tcPr>
            <w:tcW w:w="427" w:type="dxa"/>
            <w:vAlign w:val="center"/>
          </w:tcPr>
          <w:p w14:paraId="3686B876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58EA6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085350DB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 w:rsidRPr="009B4922">
              <w:rPr>
                <w:rFonts w:ascii="Arial Narrow Italic" w:hAnsi="Arial Narrow Italic"/>
                <w:sz w:val="20"/>
              </w:rPr>
              <w:t>Volochay</w:t>
            </w:r>
            <w:proofErr w:type="spellEnd"/>
            <w:r w:rsidRPr="009B4922">
              <w:rPr>
                <w:rFonts w:ascii="Arial Narrow Italic" w:hAnsi="Arial Narrow Italic"/>
                <w:sz w:val="20"/>
              </w:rPr>
              <w:t xml:space="preserve"> v. College of Massage Therapists</w:t>
            </w:r>
            <w:r>
              <w:rPr>
                <w:rFonts w:ascii="Arial Narrow" w:hAnsi="Arial Narrow"/>
                <w:sz w:val="20"/>
              </w:rPr>
              <w:t xml:space="preserve"> – JR – judicial intervention always discretionary</w:t>
            </w:r>
          </w:p>
        </w:tc>
        <w:tc>
          <w:tcPr>
            <w:tcW w:w="510" w:type="dxa"/>
            <w:vAlign w:val="center"/>
          </w:tcPr>
          <w:p w14:paraId="7F51988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427" w:type="dxa"/>
            <w:vAlign w:val="center"/>
          </w:tcPr>
          <w:p w14:paraId="785665DC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204B54F5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CA4C640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lastRenderedPageBreak/>
              <w:t>Vriend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Alberta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remedies – s. 52 – reading in</w:t>
            </w:r>
          </w:p>
        </w:tc>
        <w:tc>
          <w:tcPr>
            <w:tcW w:w="510" w:type="dxa"/>
            <w:vAlign w:val="center"/>
          </w:tcPr>
          <w:p w14:paraId="08566E27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586</w:t>
            </w:r>
          </w:p>
        </w:tc>
        <w:tc>
          <w:tcPr>
            <w:tcW w:w="427" w:type="dxa"/>
            <w:vAlign w:val="center"/>
          </w:tcPr>
          <w:p w14:paraId="76CC8D08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07C2E09E" w14:textId="77777777" w:rsidTr="00D44225">
        <w:trPr>
          <w:trHeight w:val="57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50707CF" w14:textId="77777777" w:rsidR="00A72EAE" w:rsidRPr="00EA0B77" w:rsidRDefault="00A72EAE" w:rsidP="00BB299D">
            <w:pPr>
              <w:spacing w:after="0" w:line="276" w:lineRule="auto"/>
              <w:ind w:left="250" w:hanging="142"/>
              <w:rPr>
                <w:rFonts w:ascii="Arial Narrow Bold" w:hAnsi="Arial Narrow Bold"/>
                <w:sz w:val="28"/>
              </w:rPr>
            </w:pPr>
            <w:r>
              <w:rPr>
                <w:rFonts w:ascii="Arial Narrow Bold" w:hAnsi="Arial Narrow Bold"/>
                <w:sz w:val="28"/>
              </w:rPr>
              <w:t>W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9C34AA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413697E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</w:p>
        </w:tc>
      </w:tr>
      <w:tr w:rsidR="00A72EAE" w14:paraId="78ECD9DF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A2FB8B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>WD Latimer and Bray (Re)</w:t>
            </w:r>
            <w:r>
              <w:rPr>
                <w:rFonts w:ascii="Arial Narrow" w:hAnsi="Arial Narrow"/>
                <w:sz w:val="20"/>
              </w:rPr>
              <w:t xml:space="preserve"> – institutional bias</w:t>
            </w:r>
          </w:p>
        </w:tc>
        <w:tc>
          <w:tcPr>
            <w:tcW w:w="510" w:type="dxa"/>
            <w:vAlign w:val="center"/>
          </w:tcPr>
          <w:p w14:paraId="73CDD124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547</w:t>
            </w:r>
          </w:p>
        </w:tc>
        <w:tc>
          <w:tcPr>
            <w:tcW w:w="427" w:type="dxa"/>
            <w:vAlign w:val="center"/>
          </w:tcPr>
          <w:p w14:paraId="39DD46A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56B37F29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16F325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Webb and Ontario Housing Corp. (Re) </w:t>
            </w:r>
            <w:r>
              <w:rPr>
                <w:rFonts w:ascii="Arial Narrow" w:hAnsi="Arial Narrow"/>
                <w:sz w:val="20"/>
              </w:rPr>
              <w:t>– duty of fairness – ceasing to provide a benefit vs. granting a benefit</w:t>
            </w:r>
          </w:p>
        </w:tc>
        <w:tc>
          <w:tcPr>
            <w:tcW w:w="510" w:type="dxa"/>
            <w:vAlign w:val="center"/>
          </w:tcPr>
          <w:p w14:paraId="11EB879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549</w:t>
            </w:r>
          </w:p>
        </w:tc>
        <w:tc>
          <w:tcPr>
            <w:tcW w:w="427" w:type="dxa"/>
            <w:vAlign w:val="center"/>
          </w:tcPr>
          <w:p w14:paraId="13BD0D4A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90D7424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3F223956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 Italic" w:hAnsi="Arial Narrow Italic"/>
                <w:sz w:val="20"/>
              </w:rPr>
              <w:t xml:space="preserve">Weber v. Ontario Hydro </w:t>
            </w:r>
            <w:r>
              <w:rPr>
                <w:rFonts w:ascii="Arial Narrow" w:hAnsi="Arial Narrow"/>
                <w:sz w:val="20"/>
              </w:rPr>
              <w:t xml:space="preserve">– proving a </w:t>
            </w:r>
            <w:r>
              <w:rPr>
                <w:rFonts w:ascii="Arial Narrow Italic" w:hAnsi="Arial Narrow Italic"/>
                <w:sz w:val="20"/>
              </w:rPr>
              <w:t xml:space="preserve">Charter </w:t>
            </w:r>
            <w:r>
              <w:rPr>
                <w:rFonts w:ascii="Arial Narrow" w:hAnsi="Arial Narrow"/>
                <w:sz w:val="20"/>
              </w:rPr>
              <w:t>claim – admin tribunals – availability of alternate remedies</w:t>
            </w:r>
          </w:p>
        </w:tc>
        <w:tc>
          <w:tcPr>
            <w:tcW w:w="510" w:type="dxa"/>
            <w:vAlign w:val="center"/>
          </w:tcPr>
          <w:p w14:paraId="1EFE723C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590</w:t>
            </w:r>
          </w:p>
        </w:tc>
        <w:tc>
          <w:tcPr>
            <w:tcW w:w="427" w:type="dxa"/>
            <w:vAlign w:val="center"/>
          </w:tcPr>
          <w:p w14:paraId="2271210B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666FBC9A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442D7E6A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 Italic" w:hAnsi="Arial Narrow Italic"/>
                <w:sz w:val="20"/>
              </w:rPr>
              <w:t>Withler</w:t>
            </w:r>
            <w:proofErr w:type="spellEnd"/>
            <w:r>
              <w:rPr>
                <w:rFonts w:ascii="Arial Narrow Italic" w:hAnsi="Arial Narrow Italic"/>
                <w:sz w:val="20"/>
              </w:rPr>
              <w:t xml:space="preserve"> v. Canada (Attorney General)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>
              <w:rPr>
                <w:rFonts w:ascii="Arial Narrow Italic" w:hAnsi="Arial Narrow Italic"/>
                <w:sz w:val="20"/>
              </w:rPr>
              <w:t>Charter</w:t>
            </w:r>
            <w:r>
              <w:rPr>
                <w:rFonts w:ascii="Arial Narrow" w:hAnsi="Arial Narrow"/>
                <w:sz w:val="20"/>
              </w:rPr>
              <w:t xml:space="preserve"> s. 15 – equality</w:t>
            </w:r>
          </w:p>
        </w:tc>
        <w:tc>
          <w:tcPr>
            <w:tcW w:w="510" w:type="dxa"/>
            <w:vAlign w:val="center"/>
          </w:tcPr>
          <w:p w14:paraId="20579395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584</w:t>
            </w:r>
          </w:p>
        </w:tc>
        <w:tc>
          <w:tcPr>
            <w:tcW w:w="427" w:type="dxa"/>
            <w:vAlign w:val="center"/>
          </w:tcPr>
          <w:p w14:paraId="5AC58442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2728B677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67A35DF9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Witness – issuing summons to compel witness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  <w:r>
              <w:rPr>
                <w:rFonts w:ascii="Arial Narrow" w:hAnsi="Arial Narrow"/>
                <w:sz w:val="20"/>
              </w:rPr>
              <w:t xml:space="preserve"> s. 12</w:t>
            </w:r>
          </w:p>
        </w:tc>
        <w:tc>
          <w:tcPr>
            <w:tcW w:w="510" w:type="dxa"/>
            <w:vAlign w:val="center"/>
          </w:tcPr>
          <w:p w14:paraId="0159073B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4F7719E1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r</w:t>
            </w:r>
          </w:p>
        </w:tc>
      </w:tr>
      <w:tr w:rsidR="00A72EAE" w14:paraId="65D822C6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5FECBD7C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Witnesses’ rights – admin tribunals –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182E181D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553</w:t>
            </w:r>
          </w:p>
        </w:tc>
        <w:tc>
          <w:tcPr>
            <w:tcW w:w="427" w:type="dxa"/>
            <w:vAlign w:val="center"/>
          </w:tcPr>
          <w:p w14:paraId="3B5FD0C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  <w:tr w:rsidR="00A72EAE" w14:paraId="39E90DE1" w14:textId="77777777" w:rsidTr="00D44225">
        <w:trPr>
          <w:trHeight w:val="57"/>
        </w:trPr>
        <w:tc>
          <w:tcPr>
            <w:tcW w:w="4025" w:type="dxa"/>
            <w:vAlign w:val="center"/>
          </w:tcPr>
          <w:p w14:paraId="2FBAFBA5" w14:textId="77777777" w:rsidR="00A72EAE" w:rsidRDefault="00A72EAE" w:rsidP="00BB299D">
            <w:pPr>
              <w:spacing w:after="0" w:line="276" w:lineRule="auto"/>
              <w:ind w:left="250" w:hanging="142"/>
              <w:rPr>
                <w:rFonts w:ascii="Arial Narrow Italic" w:hAnsi="Arial Narrow Itali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Written hearings – </w:t>
            </w:r>
            <w:r>
              <w:rPr>
                <w:rFonts w:ascii="Arial Narrow Italic" w:hAnsi="Arial Narrow Italic"/>
                <w:sz w:val="20"/>
              </w:rPr>
              <w:t>SPPA</w:t>
            </w:r>
          </w:p>
        </w:tc>
        <w:tc>
          <w:tcPr>
            <w:tcW w:w="510" w:type="dxa"/>
            <w:vAlign w:val="center"/>
          </w:tcPr>
          <w:p w14:paraId="3354AA21" w14:textId="77777777" w:rsidR="00A72EAE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552</w:t>
            </w:r>
          </w:p>
        </w:tc>
        <w:tc>
          <w:tcPr>
            <w:tcW w:w="427" w:type="dxa"/>
            <w:vAlign w:val="center"/>
          </w:tcPr>
          <w:p w14:paraId="520F8EE0" w14:textId="77777777" w:rsidR="00A72EAE" w:rsidRPr="001317EF" w:rsidRDefault="00A72EAE" w:rsidP="00BB299D">
            <w:pPr>
              <w:spacing w:after="0" w:line="276" w:lineRule="auto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caps/>
                <w:sz w:val="20"/>
              </w:rPr>
              <w:t>l</w:t>
            </w:r>
          </w:p>
        </w:tc>
      </w:tr>
    </w:tbl>
    <w:p w14:paraId="6316BE12" w14:textId="77777777" w:rsidR="00240412" w:rsidRDefault="00240412">
      <w:pPr>
        <w:pStyle w:val="FreeForm"/>
        <w:rPr>
          <w:rFonts w:ascii="Arial Narrow" w:hAnsi="Arial Narrow"/>
        </w:rPr>
      </w:pPr>
      <w:bookmarkStart w:id="0" w:name="_GoBack"/>
      <w:bookmarkEnd w:id="0"/>
    </w:p>
    <w:p w14:paraId="7A86A70E" w14:textId="77777777" w:rsidR="00240412" w:rsidRDefault="00240412">
      <w:pPr>
        <w:spacing w:after="0"/>
        <w:rPr>
          <w:rFonts w:ascii="Arial Narrow" w:hAnsi="Arial Narrow"/>
          <w:sz w:val="20"/>
        </w:rPr>
      </w:pPr>
    </w:p>
    <w:p w14:paraId="11EBFD17" w14:textId="77777777" w:rsidR="00240412" w:rsidRDefault="00240412">
      <w:pPr>
        <w:pStyle w:val="Body"/>
        <w:rPr>
          <w:rFonts w:ascii="Arial Narrow Bold" w:hAnsi="Arial Narrow Bold"/>
          <w:sz w:val="20"/>
        </w:rPr>
      </w:pPr>
      <w:r>
        <w:rPr>
          <w:rFonts w:ascii="Arial Narrow Bold" w:hAnsi="Arial Narrow Bold"/>
          <w:sz w:val="20"/>
        </w:rPr>
        <w:t>Abbreviations</w:t>
      </w:r>
    </w:p>
    <w:p w14:paraId="255912F4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AG = Attorney General</w:t>
      </w:r>
    </w:p>
    <w:p w14:paraId="6538EBF0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 xml:space="preserve">ATIA = Access to Information Act </w:t>
      </w:r>
      <w:r>
        <w:rPr>
          <w:rFonts w:ascii="Arial Narrow" w:hAnsi="Arial Narrow"/>
          <w:sz w:val="20"/>
        </w:rPr>
        <w:t>(federal)</w:t>
      </w:r>
    </w:p>
    <w:p w14:paraId="53C03319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 xml:space="preserve">CJA = Courts of Justice Act </w:t>
      </w:r>
      <w:r>
        <w:rPr>
          <w:rFonts w:ascii="Arial Narrow" w:hAnsi="Arial Narrow"/>
          <w:sz w:val="20"/>
        </w:rPr>
        <w:t>(ON)</w:t>
      </w:r>
    </w:p>
    <w:p w14:paraId="0F7528EA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CL = common law</w:t>
      </w:r>
    </w:p>
    <w:p w14:paraId="1CAF62E4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 xml:space="preserve">CLPA </w:t>
      </w:r>
      <w:r>
        <w:rPr>
          <w:rFonts w:ascii="Arial Narrow" w:hAnsi="Arial Narrow"/>
          <w:sz w:val="20"/>
        </w:rPr>
        <w:t xml:space="preserve">= </w:t>
      </w:r>
      <w:r>
        <w:rPr>
          <w:rFonts w:ascii="Arial Narrow Italic" w:hAnsi="Arial Narrow Italic"/>
          <w:sz w:val="20"/>
        </w:rPr>
        <w:t>Crown Liability and Proceedings Act</w:t>
      </w:r>
    </w:p>
    <w:p w14:paraId="0F717C0E" w14:textId="77777777" w:rsidR="00240412" w:rsidRDefault="00240412">
      <w:pPr>
        <w:pStyle w:val="Body"/>
        <w:rPr>
          <w:rFonts w:ascii="Arial Narrow" w:hAnsi="Arial Narrow"/>
          <w:sz w:val="20"/>
        </w:rPr>
      </w:pPr>
      <w:proofErr w:type="spellStart"/>
      <w:r>
        <w:rPr>
          <w:rFonts w:ascii="Arial Narrow" w:hAnsi="Arial Narrow"/>
          <w:sz w:val="20"/>
        </w:rPr>
        <w:t>Div</w:t>
      </w:r>
      <w:proofErr w:type="spellEnd"/>
      <w:r>
        <w:rPr>
          <w:rFonts w:ascii="Arial Narrow" w:hAnsi="Arial Narrow"/>
          <w:sz w:val="20"/>
        </w:rPr>
        <w:t xml:space="preserve"> Court or ON </w:t>
      </w:r>
      <w:proofErr w:type="spellStart"/>
      <w:r>
        <w:rPr>
          <w:rFonts w:ascii="Arial Narrow" w:hAnsi="Arial Narrow"/>
          <w:sz w:val="20"/>
        </w:rPr>
        <w:t>Div</w:t>
      </w:r>
      <w:proofErr w:type="spellEnd"/>
      <w:r>
        <w:rPr>
          <w:rFonts w:ascii="Arial Narrow" w:hAnsi="Arial Narrow"/>
          <w:sz w:val="20"/>
        </w:rPr>
        <w:t xml:space="preserve"> Court = Ontario Divisional Court</w:t>
      </w:r>
    </w:p>
    <w:p w14:paraId="0FB0D38B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DM = Decision-Maker</w:t>
      </w:r>
    </w:p>
    <w:p w14:paraId="0DB046A7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FCA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Federal Courts Act</w:t>
      </w:r>
    </w:p>
    <w:p w14:paraId="3E932F43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FCR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Federal Courts Rules</w:t>
      </w:r>
    </w:p>
    <w:p w14:paraId="2F88F8D4" w14:textId="77777777" w:rsidR="00240412" w:rsidRDefault="00240412">
      <w:pPr>
        <w:spacing w:after="0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FIPPA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 xml:space="preserve">Freedom of Information and Protection of Privacy Act </w:t>
      </w:r>
      <w:r>
        <w:rPr>
          <w:rFonts w:ascii="Arial Narrow" w:hAnsi="Arial Narrow"/>
          <w:sz w:val="20"/>
        </w:rPr>
        <w:t>(Ontario)</w:t>
      </w:r>
    </w:p>
    <w:p w14:paraId="34BEAE8A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FN = First Nation(s)</w:t>
      </w:r>
    </w:p>
    <w:p w14:paraId="123AAF97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JR = judicial review</w:t>
      </w:r>
    </w:p>
    <w:p w14:paraId="706EE3F5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JRPA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 xml:space="preserve">Judicial Review Procedure Act </w:t>
      </w:r>
      <w:r>
        <w:rPr>
          <w:rFonts w:ascii="Arial Narrow" w:hAnsi="Arial Narrow"/>
          <w:sz w:val="20"/>
        </w:rPr>
        <w:t>(Ontario)</w:t>
      </w:r>
    </w:p>
    <w:p w14:paraId="692C1F5E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LLSP = life, liberty and security of the person</w:t>
      </w:r>
    </w:p>
    <w:p w14:paraId="5CBC529B" w14:textId="77777777" w:rsidR="00240412" w:rsidRDefault="00240412">
      <w:pPr>
        <w:pStyle w:val="Body"/>
        <w:rPr>
          <w:rFonts w:ascii="Arial Narrow Italic" w:hAnsi="Arial Narrow Italic"/>
          <w:sz w:val="20"/>
        </w:rPr>
      </w:pPr>
      <w:r>
        <w:rPr>
          <w:rFonts w:ascii="Arial Narrow Italic" w:hAnsi="Arial Narrow Italic"/>
          <w:sz w:val="20"/>
        </w:rPr>
        <w:t>MFIPPA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Municipal Freedom of Information and Protection of Privacy Act</w:t>
      </w:r>
    </w:p>
    <w:p w14:paraId="3FB9EF02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 Italic" w:hAnsi="Arial Narrow Italic"/>
          <w:sz w:val="20"/>
        </w:rPr>
        <w:t>PA</w:t>
      </w:r>
      <w:r>
        <w:rPr>
          <w:rFonts w:ascii="Arial Narrow" w:hAnsi="Arial Narrow"/>
          <w:sz w:val="20"/>
        </w:rPr>
        <w:t xml:space="preserve"> = </w:t>
      </w:r>
      <w:r>
        <w:rPr>
          <w:rFonts w:ascii="Arial Narrow Italic" w:hAnsi="Arial Narrow Italic"/>
          <w:sz w:val="20"/>
        </w:rPr>
        <w:t>Privacy Act</w:t>
      </w:r>
      <w:r>
        <w:rPr>
          <w:rFonts w:ascii="Arial Narrow" w:hAnsi="Arial Narrow"/>
          <w:sz w:val="20"/>
        </w:rPr>
        <w:t xml:space="preserve"> (federal)</w:t>
      </w:r>
    </w:p>
    <w:p w14:paraId="5B12EC60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PF = procedural fairness</w:t>
      </w:r>
    </w:p>
    <w:p w14:paraId="0003181D" w14:textId="77777777" w:rsidR="00240412" w:rsidRDefault="00240412">
      <w:pPr>
        <w:pStyle w:val="Bod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POGG = peace, order, and good government</w:t>
      </w:r>
    </w:p>
    <w:p w14:paraId="11C0BFF8" w14:textId="77777777" w:rsidR="00240412" w:rsidRDefault="00240412">
      <w:pPr>
        <w:pStyle w:val="Body"/>
        <w:rPr>
          <w:rFonts w:ascii="Times New Roman" w:eastAsia="Times New Roman" w:hAnsi="Times New Roman"/>
          <w:color w:val="auto"/>
          <w:sz w:val="20"/>
          <w:lang w:val="en-CA" w:eastAsia="en-CA" w:bidi="x-none"/>
        </w:rPr>
      </w:pPr>
      <w:r>
        <w:rPr>
          <w:rFonts w:ascii="Arial Narrow" w:hAnsi="Arial Narrow"/>
          <w:sz w:val="20"/>
        </w:rPr>
        <w:t>SCC = If you need to look this up after three years of law school, you’re fucked</w:t>
      </w:r>
    </w:p>
    <w:sectPr w:rsidR="00240412" w:rsidSect="00C2362F">
      <w:headerReference w:type="even" r:id="rId9"/>
      <w:headerReference w:type="default" r:id="rId10"/>
      <w:pgSz w:w="12240" w:h="15840"/>
      <w:pgMar w:top="1440" w:right="1080" w:bottom="1440" w:left="1152" w:header="708" w:footer="708" w:gutter="0"/>
      <w:pgNumType w:start="0"/>
      <w:cols w:num="2" w:space="113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83B76" w14:textId="77777777" w:rsidR="00B13328" w:rsidRDefault="00B13328">
      <w:pPr>
        <w:spacing w:after="0"/>
      </w:pPr>
      <w:r>
        <w:separator/>
      </w:r>
    </w:p>
  </w:endnote>
  <w:endnote w:type="continuationSeparator" w:id="0">
    <w:p w14:paraId="03CDE987" w14:textId="77777777" w:rsidR="00B13328" w:rsidRDefault="00B13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pitch w:val="default"/>
  </w:font>
  <w:font w:name="Arial Narrow Bold Italic">
    <w:panose1 w:val="020B07060202020A0204"/>
    <w:charset w:val="00"/>
    <w:family w:val="roman"/>
    <w:pitch w:val="default"/>
  </w:font>
  <w:font w:name="Arial Narrow Italic">
    <w:panose1 w:val="020B06060202020A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EC1FB" w14:textId="77777777" w:rsidR="00B13328" w:rsidRDefault="00B13328">
      <w:pPr>
        <w:spacing w:after="0"/>
      </w:pPr>
      <w:r>
        <w:separator/>
      </w:r>
    </w:p>
  </w:footnote>
  <w:footnote w:type="continuationSeparator" w:id="0">
    <w:p w14:paraId="65431E91" w14:textId="77777777" w:rsidR="00B13328" w:rsidRDefault="00B13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F220C" w14:textId="5E1731EF" w:rsidR="00FC26A6" w:rsidRDefault="00FC26A6">
    <w:pPr>
      <w:pStyle w:val="Header"/>
      <w:tabs>
        <w:tab w:val="center" w:pos="5040"/>
      </w:tabs>
      <w:spacing w:before="2" w:after="2"/>
      <w:rPr>
        <w:rFonts w:ascii="Times New Roman" w:eastAsia="Times New Roman" w:hAnsi="Times New Roman"/>
        <w:color w:val="auto"/>
        <w:sz w:val="20"/>
        <w:lang w:val="en-CA" w:eastAsia="en-CA" w:bidi="x-none"/>
      </w:rPr>
    </w:pPr>
    <w:r>
      <w:rPr>
        <w:rFonts w:ascii="Arial Narrow" w:hAnsi="Arial Narrow"/>
        <w:smallCaps/>
        <w:sz w:val="18"/>
      </w:rPr>
      <w:tab/>
      <w:t>201</w:t>
    </w:r>
    <w:r w:rsidR="007C5BBF">
      <w:rPr>
        <w:rFonts w:ascii="Arial Narrow" w:hAnsi="Arial Narrow"/>
        <w:smallCaps/>
        <w:sz w:val="18"/>
      </w:rPr>
      <w:t>6</w:t>
    </w:r>
    <w:r>
      <w:rPr>
        <w:rFonts w:ascii="Arial Narrow" w:hAnsi="Arial Narrow"/>
        <w:smallCaps/>
        <w:sz w:val="18"/>
      </w:rPr>
      <w:t xml:space="preserve"> </w:t>
    </w:r>
    <w:r>
      <w:rPr>
        <w:rFonts w:ascii="Arial Narrow" w:hAnsi="Arial Narrow"/>
        <w:caps/>
        <w:sz w:val="18"/>
      </w:rPr>
      <w:t>Public law Index – Barrister exam</w:t>
    </w:r>
    <w:r>
      <w:rPr>
        <w:rFonts w:ascii="Arial Narrow" w:hAnsi="Arial Narrow"/>
        <w:smallCaps/>
        <w:sz w:val="18"/>
      </w:rPr>
      <w:tab/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A72EAE">
      <w:rPr>
        <w:rStyle w:val="PageNumber"/>
        <w:rFonts w:ascii="Arial Narrow" w:hAnsi="Arial Narrow"/>
        <w:noProof/>
        <w:sz w:val="18"/>
      </w:rPr>
      <w:t>2</w:t>
    </w:r>
    <w:r>
      <w:rPr>
        <w:rStyle w:val="PageNumber"/>
        <w:rFonts w:ascii="Arial Narrow" w:hAnsi="Arial Narrow"/>
        <w:sz w:val="18"/>
      </w:rPr>
      <w:fldChar w:fldCharType="end"/>
    </w:r>
    <w:r>
      <w:rPr>
        <w:rStyle w:val="PageNumber"/>
        <w:rFonts w:ascii="Arial Narrow" w:hAnsi="Arial Narrow"/>
        <w:sz w:val="18"/>
      </w:rPr>
      <w:t xml:space="preserve"> /</w:t>
    </w:r>
    <w:r w:rsidR="007C5BBF">
      <w:rPr>
        <w:rStyle w:val="PageNumber"/>
        <w:rFonts w:ascii="Arial Narrow" w:hAnsi="Arial Narrow"/>
        <w:sz w:val="18"/>
      </w:rPr>
      <w:t xml:space="preserve"> 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F6CD5" w14:textId="206E9B03" w:rsidR="00FC26A6" w:rsidRDefault="00FC26A6">
    <w:pPr>
      <w:pStyle w:val="Header"/>
      <w:tabs>
        <w:tab w:val="center" w:pos="5040"/>
      </w:tabs>
      <w:spacing w:before="2" w:after="2"/>
      <w:rPr>
        <w:rFonts w:ascii="Times New Roman" w:eastAsia="Times New Roman" w:hAnsi="Times New Roman"/>
        <w:color w:val="auto"/>
        <w:sz w:val="20"/>
        <w:lang w:val="en-CA" w:eastAsia="en-CA" w:bidi="x-none"/>
      </w:rPr>
    </w:pPr>
    <w:r>
      <w:rPr>
        <w:rFonts w:ascii="Arial Narrow" w:hAnsi="Arial Narrow"/>
        <w:smallCaps/>
        <w:sz w:val="18"/>
      </w:rPr>
      <w:tab/>
      <w:t xml:space="preserve">2016 </w:t>
    </w:r>
    <w:r>
      <w:rPr>
        <w:rFonts w:ascii="Arial Narrow" w:hAnsi="Arial Narrow"/>
        <w:caps/>
        <w:sz w:val="18"/>
      </w:rPr>
      <w:t>Public law Index – Barrister exam</w:t>
    </w:r>
    <w:r>
      <w:rPr>
        <w:rFonts w:ascii="Arial Narrow" w:hAnsi="Arial Narrow"/>
        <w:smallCaps/>
        <w:sz w:val="18"/>
      </w:rPr>
      <w:tab/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A72EAE">
      <w:rPr>
        <w:rStyle w:val="PageNumber"/>
        <w:rFonts w:ascii="Arial Narrow" w:hAnsi="Arial Narrow"/>
        <w:noProof/>
        <w:sz w:val="18"/>
      </w:rPr>
      <w:t>1</w:t>
    </w:r>
    <w:r>
      <w:rPr>
        <w:rStyle w:val="PageNumber"/>
        <w:rFonts w:ascii="Arial Narrow" w:hAnsi="Arial Narrow"/>
        <w:sz w:val="18"/>
      </w:rPr>
      <w:fldChar w:fldCharType="end"/>
    </w:r>
    <w:r>
      <w:rPr>
        <w:rStyle w:val="PageNumber"/>
        <w:rFonts w:ascii="Arial Narrow" w:hAnsi="Arial Narrow"/>
        <w:sz w:val="18"/>
      </w:rPr>
      <w:t xml:space="preserve"> /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195"/>
        </w:tabs>
        <w:ind w:left="195" w:firstLine="52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1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1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2">
    <w:nsid w:val="0000000D"/>
    <w:multiLevelType w:val="multilevel"/>
    <w:tmpl w:val="894EE87F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3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4">
    <w:nsid w:val="0000000F"/>
    <w:multiLevelType w:val="multilevel"/>
    <w:tmpl w:val="894EE88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5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6">
    <w:nsid w:val="00000011"/>
    <w:multiLevelType w:val="multilevel"/>
    <w:tmpl w:val="894EE88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7">
    <w:nsid w:val="00000012"/>
    <w:multiLevelType w:val="multilevel"/>
    <w:tmpl w:val="894EE88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8">
    <w:nsid w:val="00000013"/>
    <w:multiLevelType w:val="multilevel"/>
    <w:tmpl w:val="894EE88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9">
    <w:nsid w:val="00000014"/>
    <w:multiLevelType w:val="multilevel"/>
    <w:tmpl w:val="894EE88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0">
    <w:nsid w:val="00000015"/>
    <w:multiLevelType w:val="multilevel"/>
    <w:tmpl w:val="894EE88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1">
    <w:nsid w:val="00000016"/>
    <w:multiLevelType w:val="multilevel"/>
    <w:tmpl w:val="894EE88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2">
    <w:nsid w:val="00000017"/>
    <w:multiLevelType w:val="multilevel"/>
    <w:tmpl w:val="894EE88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3">
    <w:nsid w:val="00000018"/>
    <w:multiLevelType w:val="multilevel"/>
    <w:tmpl w:val="894EE88A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4">
    <w:nsid w:val="00000019"/>
    <w:multiLevelType w:val="multilevel"/>
    <w:tmpl w:val="894EE88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5">
    <w:nsid w:val="0000001A"/>
    <w:multiLevelType w:val="multilevel"/>
    <w:tmpl w:val="894EE88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6">
    <w:nsid w:val="0000001B"/>
    <w:multiLevelType w:val="multilevel"/>
    <w:tmpl w:val="894EE88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7">
    <w:nsid w:val="0000001C"/>
    <w:multiLevelType w:val="multilevel"/>
    <w:tmpl w:val="894EE88E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8">
    <w:nsid w:val="0000001D"/>
    <w:multiLevelType w:val="multilevel"/>
    <w:tmpl w:val="894EE88F"/>
    <w:lvl w:ilvl="0"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9">
    <w:nsid w:val="0000001E"/>
    <w:multiLevelType w:val="multilevel"/>
    <w:tmpl w:val="894EE89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B5"/>
    <w:rsid w:val="000337A4"/>
    <w:rsid w:val="000E669A"/>
    <w:rsid w:val="0010460F"/>
    <w:rsid w:val="001317EF"/>
    <w:rsid w:val="00145B0B"/>
    <w:rsid w:val="0014632D"/>
    <w:rsid w:val="00162B33"/>
    <w:rsid w:val="001754B9"/>
    <w:rsid w:val="001A0F01"/>
    <w:rsid w:val="001E2D07"/>
    <w:rsid w:val="001F68DD"/>
    <w:rsid w:val="00240412"/>
    <w:rsid w:val="002563B2"/>
    <w:rsid w:val="00282BC8"/>
    <w:rsid w:val="0029409C"/>
    <w:rsid w:val="00296037"/>
    <w:rsid w:val="00296FA7"/>
    <w:rsid w:val="002B2D1E"/>
    <w:rsid w:val="002D3878"/>
    <w:rsid w:val="00301E6F"/>
    <w:rsid w:val="00333B6B"/>
    <w:rsid w:val="00363B6D"/>
    <w:rsid w:val="0036405F"/>
    <w:rsid w:val="0037710C"/>
    <w:rsid w:val="00395DCC"/>
    <w:rsid w:val="003A1EC4"/>
    <w:rsid w:val="003C0945"/>
    <w:rsid w:val="003C4031"/>
    <w:rsid w:val="004001AA"/>
    <w:rsid w:val="00421227"/>
    <w:rsid w:val="0042720C"/>
    <w:rsid w:val="00430FCB"/>
    <w:rsid w:val="004528F8"/>
    <w:rsid w:val="00457807"/>
    <w:rsid w:val="00467797"/>
    <w:rsid w:val="00472DC1"/>
    <w:rsid w:val="00477B3E"/>
    <w:rsid w:val="0048606B"/>
    <w:rsid w:val="004A3145"/>
    <w:rsid w:val="004D02F7"/>
    <w:rsid w:val="004D5375"/>
    <w:rsid w:val="004F5042"/>
    <w:rsid w:val="004F6A7F"/>
    <w:rsid w:val="00502EF5"/>
    <w:rsid w:val="005104C2"/>
    <w:rsid w:val="00517ABE"/>
    <w:rsid w:val="00547CEE"/>
    <w:rsid w:val="005B6D02"/>
    <w:rsid w:val="005F2F46"/>
    <w:rsid w:val="005F4EE1"/>
    <w:rsid w:val="005F5CF1"/>
    <w:rsid w:val="00604E8D"/>
    <w:rsid w:val="00614898"/>
    <w:rsid w:val="00623C78"/>
    <w:rsid w:val="0063227C"/>
    <w:rsid w:val="006335AD"/>
    <w:rsid w:val="006A2FBE"/>
    <w:rsid w:val="006A4EEF"/>
    <w:rsid w:val="006C42C9"/>
    <w:rsid w:val="00725EDC"/>
    <w:rsid w:val="007549C5"/>
    <w:rsid w:val="00764024"/>
    <w:rsid w:val="00783237"/>
    <w:rsid w:val="00791222"/>
    <w:rsid w:val="007A6A19"/>
    <w:rsid w:val="007C2025"/>
    <w:rsid w:val="007C3B95"/>
    <w:rsid w:val="007C5BBF"/>
    <w:rsid w:val="007C792E"/>
    <w:rsid w:val="007D1A9A"/>
    <w:rsid w:val="007F3DFB"/>
    <w:rsid w:val="007F4F3C"/>
    <w:rsid w:val="00831CCA"/>
    <w:rsid w:val="008379F8"/>
    <w:rsid w:val="0085427D"/>
    <w:rsid w:val="008658E2"/>
    <w:rsid w:val="008A5297"/>
    <w:rsid w:val="008B3682"/>
    <w:rsid w:val="008C5983"/>
    <w:rsid w:val="008D1EF3"/>
    <w:rsid w:val="008F67CF"/>
    <w:rsid w:val="008F7BCA"/>
    <w:rsid w:val="00906D15"/>
    <w:rsid w:val="00934FF6"/>
    <w:rsid w:val="00962B63"/>
    <w:rsid w:val="009704D5"/>
    <w:rsid w:val="009F0CF6"/>
    <w:rsid w:val="00A71072"/>
    <w:rsid w:val="00A72EAE"/>
    <w:rsid w:val="00A8271A"/>
    <w:rsid w:val="00A83978"/>
    <w:rsid w:val="00AD36AF"/>
    <w:rsid w:val="00B00A9A"/>
    <w:rsid w:val="00B13328"/>
    <w:rsid w:val="00B60717"/>
    <w:rsid w:val="00B66C33"/>
    <w:rsid w:val="00B87F4E"/>
    <w:rsid w:val="00BB299D"/>
    <w:rsid w:val="00BB2FB5"/>
    <w:rsid w:val="00BC3137"/>
    <w:rsid w:val="00C005EF"/>
    <w:rsid w:val="00C03A61"/>
    <w:rsid w:val="00C14414"/>
    <w:rsid w:val="00C2362F"/>
    <w:rsid w:val="00C2401B"/>
    <w:rsid w:val="00C477C2"/>
    <w:rsid w:val="00C540CB"/>
    <w:rsid w:val="00C562B5"/>
    <w:rsid w:val="00C87316"/>
    <w:rsid w:val="00CA3F42"/>
    <w:rsid w:val="00CC62D8"/>
    <w:rsid w:val="00D36FC2"/>
    <w:rsid w:val="00D44225"/>
    <w:rsid w:val="00D509E3"/>
    <w:rsid w:val="00D57234"/>
    <w:rsid w:val="00DB6B07"/>
    <w:rsid w:val="00DD63E5"/>
    <w:rsid w:val="00DF33ED"/>
    <w:rsid w:val="00E36E34"/>
    <w:rsid w:val="00E441DA"/>
    <w:rsid w:val="00E51785"/>
    <w:rsid w:val="00E55EA6"/>
    <w:rsid w:val="00E811DA"/>
    <w:rsid w:val="00EA0B77"/>
    <w:rsid w:val="00EA3E20"/>
    <w:rsid w:val="00EA59B7"/>
    <w:rsid w:val="00EC3E11"/>
    <w:rsid w:val="00ED3511"/>
    <w:rsid w:val="00ED5412"/>
    <w:rsid w:val="00F70D04"/>
    <w:rsid w:val="00FA0C4B"/>
    <w:rsid w:val="00FA2B11"/>
    <w:rsid w:val="00FB2173"/>
    <w:rsid w:val="00FB6EF0"/>
    <w:rsid w:val="00FC2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C5D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1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4"/>
      <w:lang w:val="en-US" w:eastAsia="en-US"/>
    </w:rPr>
  </w:style>
  <w:style w:type="character" w:styleId="PageNumber">
    <w:name w:val="page number"/>
    <w:autoRedefine/>
    <w:rPr>
      <w:color w:val="000000"/>
      <w:sz w:val="20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locked/>
    <w:rsid w:val="00E36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36E34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2362F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2362F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locked/>
    <w:rsid w:val="00C236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62F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BB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1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4"/>
      <w:lang w:val="en-US" w:eastAsia="en-US"/>
    </w:rPr>
  </w:style>
  <w:style w:type="character" w:styleId="PageNumber">
    <w:name w:val="page number"/>
    <w:autoRedefine/>
    <w:rPr>
      <w:color w:val="000000"/>
      <w:sz w:val="20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locked/>
    <w:rsid w:val="00E36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36E34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2362F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2362F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locked/>
    <w:rsid w:val="00C236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62F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BB2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10071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– Public Law</vt:lpstr>
    </vt:vector>
  </TitlesOfParts>
  <Company/>
  <LinksUpToDate>false</LinksUpToDate>
  <CharactersWithSpaces>67342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– Public Law</dc:title>
  <dc:subject>2016 Barrister Exam</dc:subject>
  <dc:creator>Last Updated:</dc:creator>
  <cp:lastModifiedBy>Kelly</cp:lastModifiedBy>
  <cp:revision>3</cp:revision>
  <dcterms:created xsi:type="dcterms:W3CDTF">2016-06-06T01:43:00Z</dcterms:created>
  <dcterms:modified xsi:type="dcterms:W3CDTF">2016-06-06T01:45:00Z</dcterms:modified>
</cp:coreProperties>
</file>