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BD0C" w14:textId="77777777" w:rsidR="00F27FEE" w:rsidRDefault="00F27FEE" w:rsidP="00F27FEE">
      <w:pPr>
        <w:jc w:val="center"/>
        <w:rPr>
          <w:b/>
          <w:bCs/>
          <w:sz w:val="44"/>
          <w:szCs w:val="44"/>
        </w:rPr>
      </w:pPr>
      <w:r w:rsidRPr="00F27FEE">
        <w:rPr>
          <w:b/>
          <w:bCs/>
          <w:sz w:val="44"/>
          <w:szCs w:val="44"/>
        </w:rPr>
        <w:t xml:space="preserve">Amendment to the Rules </w:t>
      </w:r>
    </w:p>
    <w:p w14:paraId="7980B6B9" w14:textId="5D873276" w:rsidR="00F27FEE" w:rsidRPr="00F27FEE" w:rsidRDefault="00F27FEE" w:rsidP="00F27FEE">
      <w:pPr>
        <w:jc w:val="center"/>
        <w:rPr>
          <w:b/>
          <w:bCs/>
          <w:sz w:val="44"/>
          <w:szCs w:val="44"/>
        </w:rPr>
      </w:pPr>
      <w:r w:rsidRPr="00F27FEE">
        <w:rPr>
          <w:b/>
          <w:bCs/>
          <w:sz w:val="44"/>
          <w:szCs w:val="44"/>
        </w:rPr>
        <w:t>of the Small Claims Court</w:t>
      </w:r>
    </w:p>
    <w:p w14:paraId="4E61CCD5" w14:textId="198F8B1F" w:rsidR="00F27FEE" w:rsidRPr="00F27FEE" w:rsidRDefault="00910AD5" w:rsidP="00F27FEE">
      <w:pPr>
        <w:jc w:val="center"/>
        <w:rPr>
          <w:b/>
          <w:bCs/>
          <w:sz w:val="28"/>
          <w:szCs w:val="28"/>
        </w:rPr>
      </w:pPr>
      <w:r>
        <w:rPr>
          <w:b/>
          <w:bCs/>
          <w:sz w:val="28"/>
          <w:szCs w:val="28"/>
        </w:rPr>
        <w:t>b</w:t>
      </w:r>
      <w:r w:rsidR="00F27FEE" w:rsidRPr="00F27FEE">
        <w:rPr>
          <w:b/>
          <w:bCs/>
          <w:sz w:val="28"/>
          <w:szCs w:val="28"/>
        </w:rPr>
        <w:t>y Olga Leyenson</w:t>
      </w:r>
    </w:p>
    <w:p w14:paraId="3707B424" w14:textId="77777777" w:rsidR="00F27FEE" w:rsidRDefault="00F27FEE" w:rsidP="00ED4230">
      <w:pPr>
        <w:jc w:val="both"/>
      </w:pPr>
    </w:p>
    <w:p w14:paraId="56CF84B9" w14:textId="77777777" w:rsidR="00F27FEE" w:rsidRDefault="00F27FEE" w:rsidP="00ED4230">
      <w:pPr>
        <w:jc w:val="both"/>
      </w:pPr>
    </w:p>
    <w:p w14:paraId="1B308294" w14:textId="77777777" w:rsidR="00031117" w:rsidRDefault="00EB54E4" w:rsidP="00ED4230">
      <w:pPr>
        <w:jc w:val="both"/>
      </w:pPr>
      <w:r>
        <w:t xml:space="preserve">On January 7, 2025 </w:t>
      </w:r>
      <w:r w:rsidR="001D41E5">
        <w:t xml:space="preserve">the </w:t>
      </w:r>
      <w:r>
        <w:t>O. Reg. 258/98: Rules of the Small Claims Court</w:t>
      </w:r>
      <w:r>
        <w:rPr>
          <w:rStyle w:val="FootnoteReference"/>
        </w:rPr>
        <w:footnoteReference w:id="1"/>
      </w:r>
      <w:r>
        <w:t xml:space="preserve"> w</w:t>
      </w:r>
      <w:r w:rsidR="001D41E5">
        <w:t>as</w:t>
      </w:r>
      <w:r>
        <w:t xml:space="preserve"> amended by</w:t>
      </w:r>
      <w:r w:rsidR="001D41E5">
        <w:t xml:space="preserve"> the</w:t>
      </w:r>
      <w:r>
        <w:t xml:space="preserve"> Ontario Regulation 3/25</w:t>
      </w:r>
      <w:r>
        <w:rPr>
          <w:rStyle w:val="FootnoteReference"/>
        </w:rPr>
        <w:footnoteReference w:id="2"/>
      </w:r>
      <w:r>
        <w:t>. The following amendments come into force on June 1, 2025.</w:t>
      </w:r>
    </w:p>
    <w:p w14:paraId="400DF760" w14:textId="6F2FE351" w:rsidR="00031117" w:rsidRDefault="007C2883" w:rsidP="00ED4230">
      <w:pPr>
        <w:pStyle w:val="Heading1"/>
        <w:jc w:val="both"/>
      </w:pPr>
      <w:r>
        <w:t>General (Rule 1)</w:t>
      </w:r>
    </w:p>
    <w:p w14:paraId="672890E3" w14:textId="264F020A" w:rsidR="007C2883" w:rsidRDefault="007C2883" w:rsidP="00ED4230">
      <w:pPr>
        <w:pStyle w:val="Heading2"/>
        <w:jc w:val="both"/>
      </w:pPr>
      <w:r>
        <w:t>Primary Objective (Rule 1.03)</w:t>
      </w:r>
    </w:p>
    <w:p w14:paraId="63B227D9" w14:textId="2EA18634" w:rsidR="00031117" w:rsidRDefault="00F25335" w:rsidP="00ED4230">
      <w:pPr>
        <w:jc w:val="both"/>
      </w:pPr>
      <w:r>
        <w:t>Rule</w:t>
      </w:r>
      <w:r w:rsidR="00EB54E4">
        <w:t xml:space="preserve"> 1.03 was amended to clarify the primary objective and the duty to promote the primary objective of the Small Claims Court, maintaining the </w:t>
      </w:r>
      <w:r w:rsidR="00BF327A">
        <w:t>c</w:t>
      </w:r>
      <w:r w:rsidR="00EB54E4">
        <w:t xml:space="preserve">ourt’s mandate to enable the </w:t>
      </w:r>
      <w:r w:rsidR="00BF327A">
        <w:t>c</w:t>
      </w:r>
      <w:r w:rsidR="00EB54E4">
        <w:t xml:space="preserve">ourt to secure the just, most expeditious and least expensive determination of every proceeding on its merits, in accordance with section 25 of the </w:t>
      </w:r>
      <w:r w:rsidR="00EB54E4">
        <w:rPr>
          <w:i/>
          <w:iCs/>
        </w:rPr>
        <w:t>Courts of Justice Act</w:t>
      </w:r>
      <w:r w:rsidR="00EB54E4">
        <w:t>.</w:t>
      </w:r>
      <w:r w:rsidR="00EB54E4">
        <w:rPr>
          <w:rStyle w:val="FootnoteReference"/>
        </w:rPr>
        <w:footnoteReference w:id="3"/>
      </w:r>
      <w:r w:rsidR="00EB54E4">
        <w:t xml:space="preserve"> The amendments require the </w:t>
      </w:r>
      <w:r w:rsidR="00BF327A">
        <w:t>c</w:t>
      </w:r>
      <w:r w:rsidR="00EB54E4">
        <w:t xml:space="preserve">ourt to apply the Rules of the Small Claims Court (Rules) liberally in order to promote the primary objections, which includes but is not limited to ensuring that the procedure is fair to all parties, savings expense and time, dealing with a proceeding in a way that is appropriate to its complexity, and giving appropriate court resources to a proceeding while taking account of the need to give resources to other proceedings. Parties and their legal representatives are required to assist the </w:t>
      </w:r>
      <w:r w:rsidR="00BF327A">
        <w:t>c</w:t>
      </w:r>
      <w:r w:rsidR="00EB54E4">
        <w:t xml:space="preserve">ourt in promoting the primary objective. </w:t>
      </w:r>
    </w:p>
    <w:p w14:paraId="0CA9F508" w14:textId="799BA913" w:rsidR="007C2883" w:rsidRDefault="007C2883" w:rsidP="00ED4230">
      <w:pPr>
        <w:pStyle w:val="Heading2"/>
        <w:jc w:val="both"/>
      </w:pPr>
      <w:r>
        <w:t>Hearing Methods (Rule 1.07)</w:t>
      </w:r>
    </w:p>
    <w:p w14:paraId="69C95EA2" w14:textId="4E361AAB" w:rsidR="00F25335" w:rsidRDefault="00F25335" w:rsidP="006738ED">
      <w:pPr>
        <w:jc w:val="both"/>
      </w:pPr>
      <w:r>
        <w:t xml:space="preserve">The Rules were further amended in relation to hearing methods for any of the hearings at which attendance of the parties is required (Rule 1.07). Previously, video or telephone conference were available, and where available, for settlement conferences or motions. As a result of the COVID-19 pandemic, and the increased use of technology by the judicial system, the Rules have been amended to identify all available methods of conducting a hearing (a) in person (b) by video conference and (c) by telephone conference. However, the telephone conference option is only available for terms of payment hearing, a settlement conference, a motion or trial management conference. </w:t>
      </w:r>
    </w:p>
    <w:p w14:paraId="4277AB7E" w14:textId="287CD7B0" w:rsidR="007C2883" w:rsidRDefault="007C2883" w:rsidP="006738ED">
      <w:pPr>
        <w:jc w:val="both"/>
      </w:pPr>
      <w:r>
        <w:t xml:space="preserve">If a step in the proceeding is to be conducted in writing, such as </w:t>
      </w:r>
      <w:r w:rsidR="003C0C78">
        <w:t>Default Judgment for liquidated demand (Rule 11.02) or a Motion</w:t>
      </w:r>
      <w:r>
        <w:t xml:space="preserve"> for Assessment of Damages</w:t>
      </w:r>
      <w:r w:rsidR="003C0C78">
        <w:t xml:space="preserve"> for unliquidated demand</w:t>
      </w:r>
      <w:r>
        <w:t xml:space="preserve"> (Rule</w:t>
      </w:r>
      <w:r w:rsidR="003C0C78">
        <w:t xml:space="preserve"> 11.03), the methods of hearing outlined above would not apply.</w:t>
      </w:r>
      <w:r>
        <w:t xml:space="preserve"> </w:t>
      </w:r>
    </w:p>
    <w:p w14:paraId="35014084" w14:textId="2681E212" w:rsidR="003C0C78" w:rsidRDefault="003C0C78" w:rsidP="006738ED">
      <w:pPr>
        <w:jc w:val="both"/>
      </w:pPr>
      <w:r>
        <w:t xml:space="preserve">The </w:t>
      </w:r>
      <w:r w:rsidR="00BF327A">
        <w:t>c</w:t>
      </w:r>
      <w:r>
        <w:t xml:space="preserve">ourt also had discretion to direct a particular step to be conducted by one of the aforementioned hearing methods. If such discretion is exercised, the </w:t>
      </w:r>
      <w:r w:rsidR="00BF327A">
        <w:t>c</w:t>
      </w:r>
      <w:r>
        <w:t>ourt must provide notice of the direction to the parties.</w:t>
      </w:r>
    </w:p>
    <w:p w14:paraId="480EDF07" w14:textId="2BF7C389" w:rsidR="003C0C78" w:rsidRDefault="003C0C78" w:rsidP="006738ED">
      <w:pPr>
        <w:jc w:val="both"/>
      </w:pPr>
      <w:r>
        <w:t xml:space="preserve">A party, or their legal representative, may request a change in the method by which the party, the party’s representative, a witness is to attend a particular step in a proceeding. This is a new process </w:t>
      </w:r>
      <w:r>
        <w:lastRenderedPageBreak/>
        <w:t xml:space="preserve">under the Rules. The person requesting a change must complete a Request to Change Attendance Method (Form 1B), serve it on every other party, and file it with the </w:t>
      </w:r>
      <w:r w:rsidR="00BF327A">
        <w:t>c</w:t>
      </w:r>
      <w:r>
        <w:t xml:space="preserve">ourt together with proof of service, at least 30 days before the date of the hearing. The other party may object to the request to change the method by which requesting party attends. The objection must be delivered in writing by utilizing Objection to Request to Change Attendance Method (Form 1C). The objection must be served on every other party, and filed with proof of service with the </w:t>
      </w:r>
      <w:r w:rsidR="00BF327A">
        <w:t>c</w:t>
      </w:r>
      <w:r>
        <w:t xml:space="preserve">ourt, no later than seven (7) days after the responding party has received the Requested to Change Attendance Method. </w:t>
      </w:r>
    </w:p>
    <w:p w14:paraId="2A80BA54" w14:textId="35A810ED" w:rsidR="003C0C78" w:rsidRDefault="003C0C78" w:rsidP="006738ED">
      <w:pPr>
        <w:jc w:val="both"/>
      </w:pPr>
      <w:r>
        <w:t xml:space="preserve">The </w:t>
      </w:r>
      <w:r w:rsidR="00F077D3">
        <w:t>c</w:t>
      </w:r>
      <w:r>
        <w:t xml:space="preserve">ourt, upon receiving the request and the objection (if any) may grant or reject the request, or may direct that the step is conducted by a different method permitted under the Rules. On considering whether to grant to reject the request, the </w:t>
      </w:r>
      <w:r w:rsidR="00F077D3">
        <w:t>c</w:t>
      </w:r>
      <w:r>
        <w:t>ourt will take into consideration (a) the availability of telephone conference or video conference facilities, (b) the effect of a hearing method on the court’s ability to make findings (c) whether a party, a representative, or a witness is unable to attend by a method of attendance because of infirmity, illness or any other reason; and if there are any objections filed. Once the court makes an order in relation to the request, the clerk must serve the order on each of the parties.</w:t>
      </w:r>
    </w:p>
    <w:p w14:paraId="6AB4A38D" w14:textId="77777777" w:rsidR="00031117" w:rsidRDefault="00496F4E" w:rsidP="006738ED">
      <w:pPr>
        <w:jc w:val="both"/>
      </w:pPr>
      <w:r>
        <w:t xml:space="preserve">These changes also apply, with necessary modifications, to any part of a step in the proceeding, that requires or permits the attendance of the parties. </w:t>
      </w:r>
    </w:p>
    <w:p w14:paraId="34465B4C" w14:textId="77777777" w:rsidR="00031117" w:rsidRDefault="00991681" w:rsidP="00991681">
      <w:pPr>
        <w:pStyle w:val="Heading1"/>
      </w:pPr>
      <w:r>
        <w:t>Forum and Jurisdiction (Rule 6)</w:t>
      </w:r>
    </w:p>
    <w:p w14:paraId="6EEF6A7C" w14:textId="4A337CC5" w:rsidR="00991681" w:rsidRDefault="00991681" w:rsidP="00991681">
      <w:pPr>
        <w:pStyle w:val="Heading2"/>
      </w:pPr>
      <w:r>
        <w:t>Place of Commencement and Trial</w:t>
      </w:r>
      <w:r w:rsidR="004D0AB6">
        <w:t xml:space="preserve"> (Rule 6.01(3))</w:t>
      </w:r>
    </w:p>
    <w:p w14:paraId="72F3F658" w14:textId="77777777" w:rsidR="00031117" w:rsidRDefault="00905276" w:rsidP="006738ED">
      <w:pPr>
        <w:jc w:val="both"/>
      </w:pPr>
      <w:r>
        <w:t>Due to the changes adding a trial management conference to each proceeding that is scheduled for a trial, rule 6.01(3) has been amended to include a trial management conference as one of the instances when a court may order that the case is heard in any other place where it could have been commenced, other than where it was commenced.</w:t>
      </w:r>
    </w:p>
    <w:p w14:paraId="0F139CD5" w14:textId="77777777" w:rsidR="00031117" w:rsidRDefault="004D0AB6" w:rsidP="004D0AB6">
      <w:pPr>
        <w:pStyle w:val="Heading1"/>
      </w:pPr>
      <w:r>
        <w:t>Service (Rule 8)</w:t>
      </w:r>
    </w:p>
    <w:p w14:paraId="6310179E" w14:textId="35B8D6C2" w:rsidR="004D0AB6" w:rsidRDefault="004D0AB6" w:rsidP="004D0AB6">
      <w:pPr>
        <w:pStyle w:val="Heading2"/>
      </w:pPr>
      <w:r>
        <w:t>Settlement Conference Order (Rule 8.01(6))</w:t>
      </w:r>
    </w:p>
    <w:p w14:paraId="5CAEBC6B" w14:textId="32D28F88" w:rsidR="00323775" w:rsidRDefault="00323775" w:rsidP="006738ED">
      <w:pPr>
        <w:jc w:val="both"/>
      </w:pPr>
      <w:r>
        <w:t xml:space="preserve">As trial management conference has been added as an additional step in a proceeding, in addition to an order made at a settlement conference, the clerk must serve an order made at a trial management coherence on all parties by mail or email. </w:t>
      </w:r>
    </w:p>
    <w:p w14:paraId="3A746347" w14:textId="77777777" w:rsidR="00031117" w:rsidRDefault="00031117" w:rsidP="00323775"/>
    <w:p w14:paraId="2D5AE8AA" w14:textId="77777777" w:rsidR="00031117" w:rsidRDefault="00323775" w:rsidP="00323775">
      <w:pPr>
        <w:pStyle w:val="Heading1"/>
      </w:pPr>
      <w:r>
        <w:t>Amendment, Striking Out, Stay and Dismissal (Rule 12)</w:t>
      </w:r>
    </w:p>
    <w:p w14:paraId="74AD05C3" w14:textId="09376644" w:rsidR="00323775" w:rsidRDefault="00323775" w:rsidP="00323775">
      <w:pPr>
        <w:pStyle w:val="Heading2"/>
      </w:pPr>
      <w:r>
        <w:t>Right to Amend (Rule 12.01)</w:t>
      </w:r>
    </w:p>
    <w:p w14:paraId="7F05AED8" w14:textId="2CFFE17C" w:rsidR="00323775" w:rsidRDefault="000223A2" w:rsidP="006738ED">
      <w:pPr>
        <w:jc w:val="both"/>
      </w:pPr>
      <w:r>
        <w:t xml:space="preserve">The right to amend a plaintiff’s or a defendant’s claim, and a defence, remains </w:t>
      </w:r>
      <w:r w:rsidR="009C1E4B">
        <w:t xml:space="preserve">available to a party, however, new requirements have been implemented. In addition to marking the document as “Amended” on the first page, and underlining any additions, and striking out any content that is no longer being relied upon, the Rules require the amended document to include any document on which the amended document is based on, by attaching it to the amended document. If the </w:t>
      </w:r>
      <w:r w:rsidR="009C1E4B">
        <w:lastRenderedPageBreak/>
        <w:t>document upon which the amendment is made is not available, the body of the amended document must state the reason by such is not attached. This requirement applies even if a copy of the document was attached to the original or previously filed version of the claim or defence.</w:t>
      </w:r>
      <w:r>
        <w:t xml:space="preserve"> </w:t>
      </w:r>
    </w:p>
    <w:p w14:paraId="21F9B078" w14:textId="77777777" w:rsidR="00031117" w:rsidRDefault="00031117" w:rsidP="00323775"/>
    <w:p w14:paraId="48F4F8A8" w14:textId="4641D4E7" w:rsidR="009C1E4B" w:rsidRDefault="009C1E4B" w:rsidP="00323775">
      <w:pPr>
        <w:rPr>
          <w:rStyle w:val="Heading2Char"/>
        </w:rPr>
      </w:pPr>
      <w:r w:rsidRPr="007935A0">
        <w:rPr>
          <w:rStyle w:val="Heading1Char"/>
        </w:rPr>
        <w:t>Settlement Conferences (Rule 13)</w:t>
      </w:r>
      <w:r>
        <w:br/>
      </w:r>
      <w:r w:rsidR="00BD3B69">
        <w:rPr>
          <w:rStyle w:val="Heading2Char"/>
        </w:rPr>
        <w:t>Purposes of Settlement Conference (Rule 13.03(3))</w:t>
      </w:r>
    </w:p>
    <w:p w14:paraId="651CD166" w14:textId="77777777" w:rsidR="00031117" w:rsidRDefault="00BD3B69" w:rsidP="006738ED">
      <w:pPr>
        <w:jc w:val="both"/>
      </w:pPr>
      <w:r>
        <w:t xml:space="preserve">Usually, when a party attends at a settlement conference with their legal representative, only the legal representative would speak on behalf of their client. As of June 1, 2025, the Rules require the party </w:t>
      </w:r>
      <w:r>
        <w:rPr>
          <w:b/>
          <w:bCs/>
        </w:rPr>
        <w:t>and</w:t>
      </w:r>
      <w:r>
        <w:t xml:space="preserve"> their representative to openly and frankly discuss the issues involved in the action. </w:t>
      </w:r>
    </w:p>
    <w:p w14:paraId="44782D7C" w14:textId="5EA7C426" w:rsidR="00BD3B69" w:rsidRDefault="00BD3B69" w:rsidP="00BD3B69">
      <w:pPr>
        <w:pStyle w:val="Heading2"/>
      </w:pPr>
      <w:r>
        <w:t>Service of Ontario (Rule 13.05(5))</w:t>
      </w:r>
    </w:p>
    <w:p w14:paraId="1FEF89DC" w14:textId="77777777" w:rsidR="00031117" w:rsidRDefault="00BD3B69" w:rsidP="0009421E">
      <w:pPr>
        <w:jc w:val="both"/>
      </w:pPr>
      <w:r>
        <w:t>The clerk of the court must serve the order from the settlement conference on all parties to the proceeding, not only those parties who were not present at the settlement conference.</w:t>
      </w:r>
    </w:p>
    <w:p w14:paraId="70304147" w14:textId="77777777" w:rsidR="00031117" w:rsidRDefault="00C57094" w:rsidP="004E633F">
      <w:pPr>
        <w:pStyle w:val="Heading1"/>
        <w:rPr>
          <w:rStyle w:val="Heading2Char"/>
          <w:sz w:val="40"/>
          <w:szCs w:val="40"/>
        </w:rPr>
      </w:pPr>
      <w:r w:rsidRPr="004E633F">
        <w:rPr>
          <w:rStyle w:val="Heading2Char"/>
          <w:sz w:val="40"/>
          <w:szCs w:val="40"/>
        </w:rPr>
        <w:t>Offer to Settle</w:t>
      </w:r>
    </w:p>
    <w:p w14:paraId="506249E4" w14:textId="4172E7B7" w:rsidR="00C57094" w:rsidRPr="007935A0" w:rsidRDefault="00C57094" w:rsidP="00C57094">
      <w:pPr>
        <w:pStyle w:val="Heading2"/>
        <w:rPr>
          <w:rStyle w:val="Heading2Char"/>
        </w:rPr>
      </w:pPr>
      <w:r>
        <w:rPr>
          <w:rStyle w:val="Heading2Char"/>
        </w:rPr>
        <w:t>Costs Consequences of Failure to Accept (Rule 14.07)</w:t>
      </w:r>
    </w:p>
    <w:p w14:paraId="51BA74F9" w14:textId="151BFD6C" w:rsidR="009C1E4B" w:rsidRDefault="006210AD" w:rsidP="0009421E">
      <w:pPr>
        <w:jc w:val="both"/>
      </w:pPr>
      <w:r>
        <w:t>When a party makes an offer to settle that is not accepted by the other party, and the offer meets the conditions of Rule 14.07, the party making an offer having succeeded at trial, may request and the court may award costs up to twice the amount of the costs the court would have otherwise awarded. The Rules were changed to clarify that such costs did not include disbursements, and the successful party is not entitled to twice the amount of disbursements it incurred, even if the offer to settle pursuant to Rule 14.07 was not accepted by the other party.</w:t>
      </w:r>
    </w:p>
    <w:p w14:paraId="3FDAA0EF" w14:textId="5082681D" w:rsidR="006210AD" w:rsidRDefault="006210AD" w:rsidP="0009421E">
      <w:pPr>
        <w:jc w:val="both"/>
      </w:pPr>
      <w:r>
        <w:t>One of the significant changes to the Rules is the increase of costs that could be awarded by the court to a self-represented party, based on an offer made and not accepted test outlined in rules 14.07(1) and (2), in that the previous maximum amount of $500.00 as compensation for inconvenience and expense, has been increased to $1,500.00</w:t>
      </w:r>
      <w:r w:rsidR="00920F8E">
        <w:t xml:space="preserve"> (rule 14.07(3)).</w:t>
      </w:r>
    </w:p>
    <w:p w14:paraId="10DE2C22" w14:textId="77777777" w:rsidR="00031117" w:rsidRDefault="00920F8E" w:rsidP="00920F8E">
      <w:pPr>
        <w:pStyle w:val="Heading1"/>
      </w:pPr>
      <w:r>
        <w:t>Motions (Rule 15)</w:t>
      </w:r>
    </w:p>
    <w:p w14:paraId="345D6BA0" w14:textId="6ABDDD42" w:rsidR="00920F8E" w:rsidRDefault="00920F8E" w:rsidP="00920F8E">
      <w:pPr>
        <w:pStyle w:val="Heading2"/>
      </w:pPr>
      <w:r>
        <w:t>Motion Hearings (Rule15.02)</w:t>
      </w:r>
    </w:p>
    <w:p w14:paraId="2B6C430B" w14:textId="6F19D03F" w:rsidR="00920F8E" w:rsidRDefault="009B4363" w:rsidP="0009421E">
      <w:pPr>
        <w:jc w:val="both"/>
      </w:pPr>
      <w:r>
        <w:t xml:space="preserve">As the Hearing Methods (rule 1.07) has been amended to include additional methods of hearing of a step in a proceeding, the methods by which a motion is heard has also been amended. As of June 1, 2025 the Rules for how a motion is heard incorporate in person, by video conference, by telephone conference methods. If the Rules permit a motion to be in writing or if the judge determines that it is fair and reasonable for the motion to be in writing, then the party advancing a motion may do so in writing, without having to attend at a hearing. </w:t>
      </w:r>
    </w:p>
    <w:p w14:paraId="79D8EC15" w14:textId="77777777" w:rsidR="00031117" w:rsidRDefault="00031117" w:rsidP="00323775"/>
    <w:p w14:paraId="63602747" w14:textId="77777777" w:rsidR="00031117" w:rsidRDefault="009417E6" w:rsidP="009417E6">
      <w:pPr>
        <w:pStyle w:val="Heading1"/>
      </w:pPr>
      <w:r>
        <w:lastRenderedPageBreak/>
        <w:t>Notice of Trial (Rule 16)</w:t>
      </w:r>
    </w:p>
    <w:p w14:paraId="3D277833" w14:textId="1488E905" w:rsidR="009417E6" w:rsidRDefault="009417E6" w:rsidP="009417E6">
      <w:pPr>
        <w:pStyle w:val="Heading2"/>
      </w:pPr>
      <w:r>
        <w:t>Trial Management Conference (Rule 16.1)</w:t>
      </w:r>
    </w:p>
    <w:p w14:paraId="7952F6F5" w14:textId="52A7E002" w:rsidR="009417E6" w:rsidRDefault="0009421E" w:rsidP="0009421E">
      <w:pPr>
        <w:jc w:val="both"/>
      </w:pPr>
      <w:r>
        <w:t xml:space="preserve">A </w:t>
      </w:r>
      <w:r w:rsidR="00055454">
        <w:t>brand-new</w:t>
      </w:r>
      <w:r>
        <w:t xml:space="preserve"> rule has been introduced by the amendments in relation to post settlement conference and pre-trial conduct of the matter. </w:t>
      </w:r>
      <w:r w:rsidR="00055454">
        <w:t xml:space="preserve">When a party is ready to move forward to trial, within two years from the date on which the proceeding was commenced, a Request to Clerk (Form 9B) is completed and filed with the court, requesting a trial date. Once the court receives the request for trial, the court may, on its own initiative, direct that a trial management conference is held before a judge, prior to scheduling the trial date. Parties, and their legal representatives, must participate in the trial management conference, unless court directs otherwise. The clerk of the court shall schedule a time and a date for the trial management conference, and serve a notice of the trial management conference on all parties, who are not in default. </w:t>
      </w:r>
    </w:p>
    <w:p w14:paraId="2DF84270" w14:textId="3C32D42F" w:rsidR="00055454" w:rsidRDefault="00055454" w:rsidP="0009421E">
      <w:pPr>
        <w:jc w:val="both"/>
      </w:pPr>
      <w:r>
        <w:t xml:space="preserve">The purpose of trial management conferences </w:t>
      </w:r>
      <w:r w:rsidR="00DE0871">
        <w:t>is</w:t>
      </w:r>
      <w:r>
        <w:t>:</w:t>
      </w:r>
    </w:p>
    <w:p w14:paraId="778DBB0A" w14:textId="07F3E0B1" w:rsidR="00055454" w:rsidRDefault="00055454" w:rsidP="00055454">
      <w:pPr>
        <w:pStyle w:val="ListParagraph"/>
        <w:numPr>
          <w:ilvl w:val="0"/>
          <w:numId w:val="1"/>
        </w:numPr>
        <w:jc w:val="both"/>
      </w:pPr>
      <w:r>
        <w:t>To assess the parties’ readiness for trial;</w:t>
      </w:r>
    </w:p>
    <w:p w14:paraId="36F76ABD" w14:textId="66D53A9D" w:rsidR="00055454" w:rsidRDefault="00055454" w:rsidP="00055454">
      <w:pPr>
        <w:pStyle w:val="ListParagraph"/>
        <w:numPr>
          <w:ilvl w:val="0"/>
          <w:numId w:val="1"/>
        </w:numPr>
        <w:jc w:val="both"/>
      </w:pPr>
      <w:r>
        <w:t>To assist the parties in effective preparation for trial;</w:t>
      </w:r>
    </w:p>
    <w:p w14:paraId="52B889CC" w14:textId="1BCBAF5D" w:rsidR="00055454" w:rsidRDefault="00055454" w:rsidP="00055454">
      <w:pPr>
        <w:pStyle w:val="ListParagraph"/>
        <w:numPr>
          <w:ilvl w:val="0"/>
          <w:numId w:val="1"/>
        </w:numPr>
        <w:jc w:val="both"/>
      </w:pPr>
      <w:r>
        <w:t>To provide full disclosure between the parties of the relevant facts and evidence;</w:t>
      </w:r>
    </w:p>
    <w:p w14:paraId="2C3238B8" w14:textId="40A76926" w:rsidR="00055454" w:rsidRDefault="00055454" w:rsidP="00055454">
      <w:pPr>
        <w:pStyle w:val="ListParagraph"/>
        <w:numPr>
          <w:ilvl w:val="0"/>
          <w:numId w:val="1"/>
        </w:numPr>
        <w:jc w:val="both"/>
      </w:pPr>
      <w:r>
        <w:t>To resolve or narrow the issues in the action;</w:t>
      </w:r>
    </w:p>
    <w:p w14:paraId="65F5EA8A" w14:textId="05682BC8" w:rsidR="00055454" w:rsidRDefault="00055454" w:rsidP="00055454">
      <w:pPr>
        <w:pStyle w:val="ListParagraph"/>
        <w:numPr>
          <w:ilvl w:val="0"/>
          <w:numId w:val="1"/>
        </w:numPr>
        <w:jc w:val="both"/>
      </w:pPr>
      <w:r>
        <w:t>To expedite the disposition of the action;</w:t>
      </w:r>
    </w:p>
    <w:p w14:paraId="094A388C" w14:textId="551F389A" w:rsidR="00055454" w:rsidRDefault="00055454" w:rsidP="00055454">
      <w:pPr>
        <w:pStyle w:val="ListParagraph"/>
        <w:numPr>
          <w:ilvl w:val="0"/>
          <w:numId w:val="1"/>
        </w:numPr>
        <w:jc w:val="both"/>
      </w:pPr>
      <w:r>
        <w:t xml:space="preserve">To encourage settlement of the action; and </w:t>
      </w:r>
    </w:p>
    <w:p w14:paraId="770758C4" w14:textId="29CA63B8" w:rsidR="00055454" w:rsidRDefault="00055454" w:rsidP="00055454">
      <w:pPr>
        <w:pStyle w:val="ListParagraph"/>
        <w:numPr>
          <w:ilvl w:val="0"/>
          <w:numId w:val="1"/>
        </w:numPr>
        <w:jc w:val="both"/>
      </w:pPr>
      <w:r>
        <w:t xml:space="preserve">To set the trial date, if necessary. </w:t>
      </w:r>
    </w:p>
    <w:p w14:paraId="5BAA7898" w14:textId="7963482B" w:rsidR="00055454" w:rsidRDefault="00055454" w:rsidP="00055454">
      <w:pPr>
        <w:jc w:val="both"/>
      </w:pPr>
      <w:r>
        <w:t xml:space="preserve">If a party and/or their legal representative fails to attend at the trial management conference the court may impose appropriate sanctions by way of costs or otherwise. If a party and their legal representative (if any) attends at the trial management conference, but is so inadequately prepared, in the opinion of the court, as to frustrate the purposes of the conference, the court my award costs against that person. </w:t>
      </w:r>
    </w:p>
    <w:p w14:paraId="0EA24178" w14:textId="76CEEFC1" w:rsidR="00542ED1" w:rsidRDefault="00542ED1" w:rsidP="00055454">
      <w:pPr>
        <w:jc w:val="both"/>
      </w:pPr>
      <w:r>
        <w:t xml:space="preserve">Similar to the settlement conference, at the trial management conference the parties and their legal representative (if any) must openly and frankly discuss the issues involved in the action. Due to this requirement, any discussions within the trial management conference are confidential, and disclosure of the discussion is prohibited, unless the </w:t>
      </w:r>
      <w:r w:rsidR="00DE0871">
        <w:t>parties’</w:t>
      </w:r>
      <w:r>
        <w:t xml:space="preserve"> consent (Form 13B) or unless the court makes an order stating otherwise. </w:t>
      </w:r>
    </w:p>
    <w:p w14:paraId="2DB32285" w14:textId="3175851A" w:rsidR="00542ED1" w:rsidRDefault="00542ED1" w:rsidP="00055454">
      <w:pPr>
        <w:jc w:val="both"/>
      </w:pPr>
      <w:r>
        <w:t xml:space="preserve">The trial management conference may be recorded, but only by the court, not the parties or their legal representatives. The recording may be reviewed by a regional judge for the purpose of reviewing any complaints made pursuant to section 33.1 of the </w:t>
      </w:r>
      <w:r>
        <w:rPr>
          <w:i/>
          <w:iCs/>
        </w:rPr>
        <w:t>Courts of Justice Act</w:t>
      </w:r>
      <w:r>
        <w:t>.</w:t>
      </w:r>
    </w:p>
    <w:p w14:paraId="3B910525" w14:textId="66986121" w:rsidR="00542ED1" w:rsidRDefault="00B207E9" w:rsidP="00055454">
      <w:pPr>
        <w:jc w:val="both"/>
      </w:pPr>
      <w:r>
        <w:t>Akin to a settlement conference, the trial management conference provides the judge hearing it authority to make recommendations to the parties on any matter relating to the conduct of the action, in order to fulfil the purposes of the trial management conference, including recommendations as to:</w:t>
      </w:r>
    </w:p>
    <w:p w14:paraId="011AE598" w14:textId="3677C69E" w:rsidR="00B207E9" w:rsidRDefault="00B207E9" w:rsidP="00B207E9">
      <w:pPr>
        <w:pStyle w:val="ListParagraph"/>
        <w:numPr>
          <w:ilvl w:val="0"/>
          <w:numId w:val="2"/>
        </w:numPr>
        <w:jc w:val="both"/>
      </w:pPr>
      <w:r>
        <w:t>the clarification and simplification of issues in the action;</w:t>
      </w:r>
    </w:p>
    <w:p w14:paraId="1D56B0AF" w14:textId="4BFCE37B" w:rsidR="00B207E9" w:rsidRDefault="00B207E9" w:rsidP="00B207E9">
      <w:pPr>
        <w:pStyle w:val="ListParagraph"/>
        <w:numPr>
          <w:ilvl w:val="0"/>
          <w:numId w:val="2"/>
        </w:numPr>
        <w:jc w:val="both"/>
      </w:pPr>
      <w:r>
        <w:t>the elimination of claims or defences that appear to be unsupported; and</w:t>
      </w:r>
    </w:p>
    <w:p w14:paraId="04AAC2DD" w14:textId="5453495A" w:rsidR="00B207E9" w:rsidRDefault="00B207E9" w:rsidP="00B207E9">
      <w:pPr>
        <w:pStyle w:val="ListParagraph"/>
        <w:numPr>
          <w:ilvl w:val="0"/>
          <w:numId w:val="2"/>
        </w:numPr>
        <w:jc w:val="both"/>
      </w:pPr>
      <w:r>
        <w:t>the admission of facts or documents without further proof.</w:t>
      </w:r>
    </w:p>
    <w:p w14:paraId="05AEA939" w14:textId="70D736B5" w:rsidR="00B207E9" w:rsidRDefault="00B207E9" w:rsidP="00B207E9">
      <w:pPr>
        <w:jc w:val="both"/>
      </w:pPr>
      <w:r>
        <w:t xml:space="preserve">The judge conducting the trial management conference may make any order relating to the conduct of the action, that the court could make, including orders respecting the scheduling of the trial, directing production of documents, and awarding costs if a party fails to attend the conference. </w:t>
      </w:r>
    </w:p>
    <w:p w14:paraId="33E2A9FE" w14:textId="5AF23A5D" w:rsidR="00B207E9" w:rsidRDefault="00B207E9" w:rsidP="00B207E9">
      <w:pPr>
        <w:jc w:val="both"/>
      </w:pPr>
      <w:r>
        <w:t xml:space="preserve">The order from the trial management conference must be served by the clerk of the court on all parties, who are not in default. A memorandum summarizing the scheduling and trial preparation </w:t>
      </w:r>
      <w:r>
        <w:lastRenderedPageBreak/>
        <w:t xml:space="preserve">matters addressed during the conference is prepared by the judge conducting the conference, and is provided to the judge conducting the trial. </w:t>
      </w:r>
    </w:p>
    <w:p w14:paraId="50197299" w14:textId="77777777" w:rsidR="00031117" w:rsidRDefault="00B207E9" w:rsidP="00B207E9">
      <w:pPr>
        <w:jc w:val="both"/>
      </w:pPr>
      <w:r>
        <w:t>As with the judge conducting a settlement conference, the judge conducting the trial management conference cannot be the judge</w:t>
      </w:r>
      <w:r w:rsidR="008B463C">
        <w:t xml:space="preserve"> at trial, and if any costs are to be awarded at the trial management conference against a party, such costs are limited to $100, unless special circumstances are demonstrated and the court order higher costs. </w:t>
      </w:r>
    </w:p>
    <w:p w14:paraId="5A0BDDCF" w14:textId="77777777" w:rsidR="00031117" w:rsidRDefault="008B463C" w:rsidP="008B463C">
      <w:pPr>
        <w:pStyle w:val="Heading1"/>
      </w:pPr>
      <w:r>
        <w:t>Trial (Rule 17)</w:t>
      </w:r>
    </w:p>
    <w:p w14:paraId="38AD5093" w14:textId="7BB140B2" w:rsidR="008B463C" w:rsidRDefault="008B463C" w:rsidP="00046558">
      <w:pPr>
        <w:pStyle w:val="Heading2"/>
      </w:pPr>
      <w:r>
        <w:t>Adjournment (Rule 17.02)</w:t>
      </w:r>
    </w:p>
    <w:p w14:paraId="0EA5673A" w14:textId="77777777" w:rsidR="00031117" w:rsidRDefault="00046558" w:rsidP="00B207E9">
      <w:pPr>
        <w:jc w:val="both"/>
      </w:pPr>
      <w:r>
        <w:t xml:space="preserve">Previously, once the trial was scheduled the </w:t>
      </w:r>
      <w:r w:rsidR="00137382">
        <w:t xml:space="preserve">court could have postponed or adjourned the trial on such terms as are just. The </w:t>
      </w:r>
      <w:r>
        <w:t>parties could</w:t>
      </w:r>
      <w:r w:rsidR="00137382">
        <w:t xml:space="preserve"> request an adjournment of the trial</w:t>
      </w:r>
      <w:r>
        <w:t xml:space="preserve"> consent by completing </w:t>
      </w:r>
      <w:r w:rsidR="00137382">
        <w:t xml:space="preserve">and filing </w:t>
      </w:r>
      <w:r>
        <w:t>the Consent (Form 13B)</w:t>
      </w:r>
      <w:r w:rsidR="00137382">
        <w:t>. As of June 1, 2025, adjournment of the trial can only take place by order of the court, retaining its authority to impose terms that are just, including payment by one party to another of an amount as compensation for inconvenience and expense.</w:t>
      </w:r>
    </w:p>
    <w:p w14:paraId="70DFF838" w14:textId="223CB982" w:rsidR="00C752AC" w:rsidRDefault="00C752AC" w:rsidP="00C752AC">
      <w:pPr>
        <w:pStyle w:val="Heading1"/>
      </w:pPr>
      <w:r>
        <w:t>Evidence at Trial (Rule 18)</w:t>
      </w:r>
    </w:p>
    <w:p w14:paraId="01771CED" w14:textId="796CCA82" w:rsidR="00C752AC" w:rsidRDefault="00C752AC" w:rsidP="00C752AC">
      <w:pPr>
        <w:pStyle w:val="Heading2"/>
      </w:pPr>
      <w:r>
        <w:t>Summons to Witness (Rule 18.03(1))</w:t>
      </w:r>
    </w:p>
    <w:p w14:paraId="6E817784" w14:textId="6E0DFCDC" w:rsidR="00C752AC" w:rsidRDefault="00C752AC" w:rsidP="00B207E9">
      <w:pPr>
        <w:jc w:val="both"/>
      </w:pPr>
      <w:r>
        <w:t>Aligning with the changes in relation to Hearing Methods (Rule 1.07), the summons to witness requiring a witness to attend at a trial must not only indicate the place and the time where a witness is to appear, but also the method by which the witness appears at trial.</w:t>
      </w:r>
    </w:p>
    <w:p w14:paraId="087FAAFF" w14:textId="77777777" w:rsidR="00031117" w:rsidRDefault="00031117" w:rsidP="00B207E9">
      <w:pPr>
        <w:jc w:val="both"/>
      </w:pPr>
    </w:p>
    <w:p w14:paraId="1ED08921" w14:textId="77777777" w:rsidR="00031117" w:rsidRDefault="00C752AC" w:rsidP="00C752AC">
      <w:pPr>
        <w:pStyle w:val="Heading1"/>
      </w:pPr>
      <w:r>
        <w:t>Costs (Rule 19)</w:t>
      </w:r>
    </w:p>
    <w:p w14:paraId="5525C402" w14:textId="0D26A690" w:rsidR="00C752AC" w:rsidRDefault="00C752AC" w:rsidP="00C752AC">
      <w:pPr>
        <w:pStyle w:val="Heading2"/>
      </w:pPr>
      <w:r>
        <w:t>Disbursements (Ruel 19.01)</w:t>
      </w:r>
    </w:p>
    <w:p w14:paraId="62F4B153" w14:textId="77777777" w:rsidR="00031117" w:rsidRDefault="0005561F" w:rsidP="00B207E9">
      <w:pPr>
        <w:jc w:val="both"/>
      </w:pPr>
      <w:r>
        <w:t>A successful party is to have their reasonable disbursements paid by the unsuccessful party, unless the court order otherwise. The changes to the Rules replace the phrase “costs of” with “amounts paid for,” requiring the successful party to demonstrate what they actually spent, as oppose to what the Rules may prescribe as maximum costs for effecting service, preparing a claim or a defence, travel, accommodation, photocopying and experts’ reports. The changes also replace “costs” to “fees”, associated with the electronic filing or issuance of court documents. The amount assessed for preparing a plaintiff’s or a defendant’s claim or a defence has been increased from $100 to $200.</w:t>
      </w:r>
    </w:p>
    <w:p w14:paraId="4F0020B0" w14:textId="25630648" w:rsidR="0005561F" w:rsidRDefault="0005561F" w:rsidP="0005561F">
      <w:pPr>
        <w:pStyle w:val="Heading2"/>
      </w:pPr>
      <w:r>
        <w:t>Limit on Costs</w:t>
      </w:r>
      <w:r w:rsidR="00B0639C">
        <w:t xml:space="preserve"> (Rule</w:t>
      </w:r>
      <w:r w:rsidR="00DD148B">
        <w:t>s</w:t>
      </w:r>
      <w:r w:rsidR="00B0639C">
        <w:t xml:space="preserve"> 19.02</w:t>
      </w:r>
      <w:r w:rsidR="00DD148B">
        <w:t>, 19.07)</w:t>
      </w:r>
    </w:p>
    <w:p w14:paraId="48228C00" w14:textId="77777777" w:rsidR="00031117" w:rsidRDefault="00B0639C" w:rsidP="00B207E9">
      <w:pPr>
        <w:jc w:val="both"/>
      </w:pPr>
      <w:r>
        <w:t xml:space="preserve">Previously, the Rules imposed a limit to award costs as per section 29 of the CJA , which states that the award of costs in the Small Claims Court, other than disbursements, could not exceed 15 per cent of the amount claimed or the value of the property sought to be recovered, unless the court considered it necessary to award a larger amount, in the interest of justice in order to penalize a party or the party’s representative for unreasonable behavior in the proceeding. As of June 1, 2025, </w:t>
      </w:r>
      <w:r>
        <w:lastRenderedPageBreak/>
        <w:t>Rule 19.02 has been revoked entirely</w:t>
      </w:r>
      <w:r w:rsidR="00DD148B">
        <w:t>, and replaced with Rule 19.07. The wording of Rule 19.07 encompasses all of the available costs including the disbursements, representation, and self-represented party’s inconvenience and expense, limiting the cost award to 15 percent of the amount claimed, absent the unreasonable behavior by the party or the party’s representative.</w:t>
      </w:r>
    </w:p>
    <w:p w14:paraId="7FCD77C4" w14:textId="7438F52C" w:rsidR="0054608E" w:rsidRDefault="0054608E" w:rsidP="0054608E">
      <w:pPr>
        <w:pStyle w:val="Heading2"/>
      </w:pPr>
      <w:r>
        <w:t>Penalty (Rule 19.06)</w:t>
      </w:r>
    </w:p>
    <w:p w14:paraId="2A1741C3" w14:textId="062B7B7D" w:rsidR="00DD148B" w:rsidRDefault="00DD148B" w:rsidP="00B207E9">
      <w:pPr>
        <w:jc w:val="both"/>
      </w:pPr>
      <w:r>
        <w:t xml:space="preserve">A party may be penalized for unduly complicating or prolonging an action, or for acting unreasonably, by way of a court order to pay an amount as compensation to another party. Not only do the changes permit the court to penalize the party’s representative, as well as the party, for such conduct, requiring the party or the party’s representative personally to pay the amount ordered as a penalty. The penalty amount is now limited to the provisions of section 29 of the CJA, being 15 percent of the amount claimed, absent the unreasonable behavior by the party or the party’s representative. </w:t>
      </w:r>
    </w:p>
    <w:p w14:paraId="22F3ADF7" w14:textId="77777777" w:rsidR="00031117" w:rsidRDefault="00DD148B" w:rsidP="00B207E9">
      <w:pPr>
        <w:jc w:val="both"/>
      </w:pPr>
      <w:r>
        <w:t>It should be noted that the penalty amount, if awarded, would form part of the other costs that may be awarded, and the total amount of both would be limited to award to 15 percent of the amount claimed, absent the unreasonable behavior by the party or the party’s representative as stated in Rule 19.07.</w:t>
      </w:r>
    </w:p>
    <w:p w14:paraId="34AEB93E" w14:textId="77777777" w:rsidR="00031117" w:rsidRDefault="00C80B7B" w:rsidP="00C80B7B">
      <w:pPr>
        <w:pStyle w:val="Heading1"/>
      </w:pPr>
      <w:r>
        <w:t>Examination of Debtor or Other Person (Rule 20.10)</w:t>
      </w:r>
    </w:p>
    <w:p w14:paraId="596F441B" w14:textId="192ED504" w:rsidR="00C80B7B" w:rsidRDefault="00C80B7B" w:rsidP="00C80B7B">
      <w:pPr>
        <w:pStyle w:val="Heading2"/>
      </w:pPr>
      <w:r>
        <w:t>Attendance (Rule 20.10(5.1))</w:t>
      </w:r>
    </w:p>
    <w:p w14:paraId="5B206EA1" w14:textId="3C9C369B" w:rsidR="00C80B7B" w:rsidRDefault="003F4A3E" w:rsidP="00B207E9">
      <w:pPr>
        <w:jc w:val="both"/>
      </w:pPr>
      <w:r>
        <w:t>The subsection identifying an option of attending at a debtor examination in person or by video conference was revoked, without any replacing provisions. As the Notice of Examination (Form 20H) has amended removing the in-person attendance option, and in accordance with the Guidelines to Determine Hearing Method in the Small Claims Court</w:t>
      </w:r>
      <w:r>
        <w:rPr>
          <w:rStyle w:val="FootnoteReference"/>
        </w:rPr>
        <w:footnoteReference w:id="4"/>
      </w:r>
      <w:r>
        <w:t xml:space="preserve">, all debtor examinations are held by videoconference. </w:t>
      </w:r>
    </w:p>
    <w:p w14:paraId="588A18B8" w14:textId="77777777" w:rsidR="00031117" w:rsidRDefault="00031117" w:rsidP="00B207E9">
      <w:pPr>
        <w:jc w:val="both"/>
      </w:pPr>
    </w:p>
    <w:p w14:paraId="5974FCBB" w14:textId="4AA5DFDE" w:rsidR="000A08E8" w:rsidRDefault="000A08E8" w:rsidP="00C352F9">
      <w:pPr>
        <w:pStyle w:val="Heading1"/>
      </w:pPr>
      <w:r>
        <w:t>Changes to the Rules of the Small Claims Court Forms</w:t>
      </w:r>
    </w:p>
    <w:p w14:paraId="3A33BDCD" w14:textId="1430D8E7" w:rsidR="000A08E8" w:rsidRDefault="00C352F9" w:rsidP="00B207E9">
      <w:pPr>
        <w:jc w:val="both"/>
      </w:pPr>
      <w:r>
        <w:t>The following forms have been either introduced or amended as a result of the June 1, 2025 changes to the Rules:</w:t>
      </w:r>
    </w:p>
    <w:tbl>
      <w:tblPr>
        <w:tblStyle w:val="TableGrid"/>
        <w:tblW w:w="0" w:type="auto"/>
        <w:tblLook w:val="04A0" w:firstRow="1" w:lastRow="0" w:firstColumn="1" w:lastColumn="0" w:noHBand="0" w:noVBand="1"/>
      </w:tblPr>
      <w:tblGrid>
        <w:gridCol w:w="4675"/>
        <w:gridCol w:w="4675"/>
      </w:tblGrid>
      <w:tr w:rsidR="00C352F9" w14:paraId="69E8A1D8" w14:textId="77777777" w:rsidTr="00C352F9">
        <w:tc>
          <w:tcPr>
            <w:tcW w:w="4675" w:type="dxa"/>
          </w:tcPr>
          <w:p w14:paraId="43C7FBDC" w14:textId="24C9BA22" w:rsidR="00C352F9" w:rsidRPr="00C352F9" w:rsidRDefault="00C352F9" w:rsidP="00B207E9">
            <w:pPr>
              <w:jc w:val="both"/>
              <w:rPr>
                <w:b/>
                <w:bCs/>
              </w:rPr>
            </w:pPr>
            <w:r w:rsidRPr="00C352F9">
              <w:rPr>
                <w:b/>
                <w:bCs/>
              </w:rPr>
              <w:t>Form Name and Number</w:t>
            </w:r>
          </w:p>
        </w:tc>
        <w:tc>
          <w:tcPr>
            <w:tcW w:w="4675" w:type="dxa"/>
          </w:tcPr>
          <w:p w14:paraId="6A1605C7" w14:textId="44151A21" w:rsidR="00C352F9" w:rsidRPr="00C352F9" w:rsidRDefault="00C352F9" w:rsidP="00B207E9">
            <w:pPr>
              <w:jc w:val="both"/>
              <w:rPr>
                <w:b/>
                <w:bCs/>
              </w:rPr>
            </w:pPr>
            <w:r w:rsidRPr="00C352F9">
              <w:rPr>
                <w:b/>
                <w:bCs/>
              </w:rPr>
              <w:t>Details/Comments</w:t>
            </w:r>
            <w:r>
              <w:rPr>
                <w:b/>
                <w:bCs/>
              </w:rPr>
              <w:t>/Applicable Rule</w:t>
            </w:r>
          </w:p>
        </w:tc>
      </w:tr>
      <w:tr w:rsidR="00C352F9" w14:paraId="1491C09F" w14:textId="77777777" w:rsidTr="00C352F9">
        <w:tc>
          <w:tcPr>
            <w:tcW w:w="4675" w:type="dxa"/>
          </w:tcPr>
          <w:p w14:paraId="1C95D3A8" w14:textId="6E39C980" w:rsidR="00C352F9" w:rsidRDefault="00C352F9" w:rsidP="00B207E9">
            <w:pPr>
              <w:jc w:val="both"/>
            </w:pPr>
            <w:r>
              <w:t>1B Request for Telephone or Video Conference</w:t>
            </w:r>
          </w:p>
        </w:tc>
        <w:tc>
          <w:tcPr>
            <w:tcW w:w="4675" w:type="dxa"/>
          </w:tcPr>
          <w:p w14:paraId="3AE594FF" w14:textId="7805FABB" w:rsidR="00C352F9" w:rsidRDefault="00C352F9" w:rsidP="00B207E9">
            <w:pPr>
              <w:jc w:val="both"/>
            </w:pPr>
            <w:r>
              <w:t>Revoked and relaced</w:t>
            </w:r>
          </w:p>
        </w:tc>
      </w:tr>
      <w:tr w:rsidR="00C352F9" w14:paraId="1994AC41" w14:textId="77777777" w:rsidTr="00C352F9">
        <w:tc>
          <w:tcPr>
            <w:tcW w:w="4675" w:type="dxa"/>
          </w:tcPr>
          <w:p w14:paraId="36976044" w14:textId="1D4F0AC7" w:rsidR="00C352F9" w:rsidRDefault="00C352F9" w:rsidP="00B207E9">
            <w:pPr>
              <w:jc w:val="both"/>
            </w:pPr>
            <w:r>
              <w:t>1B Request to Change Attendance Method</w:t>
            </w:r>
          </w:p>
        </w:tc>
        <w:tc>
          <w:tcPr>
            <w:tcW w:w="4675" w:type="dxa"/>
          </w:tcPr>
          <w:p w14:paraId="6854D5A3" w14:textId="133AE21D" w:rsidR="00C352F9" w:rsidRDefault="00C352F9" w:rsidP="00B207E9">
            <w:pPr>
              <w:jc w:val="both"/>
            </w:pPr>
            <w:r>
              <w:t>Replacing prior version and purpose, see Rule 1.07</w:t>
            </w:r>
          </w:p>
        </w:tc>
      </w:tr>
      <w:tr w:rsidR="00C352F9" w14:paraId="5D9AFF4D" w14:textId="77777777" w:rsidTr="00C352F9">
        <w:tc>
          <w:tcPr>
            <w:tcW w:w="4675" w:type="dxa"/>
          </w:tcPr>
          <w:p w14:paraId="10C995CF" w14:textId="77777777" w:rsidR="00C352F9" w:rsidRDefault="00C352F9" w:rsidP="00B207E9">
            <w:pPr>
              <w:jc w:val="both"/>
            </w:pPr>
            <w:r>
              <w:t>1C Objection to Request to Change Attendance Method</w:t>
            </w:r>
          </w:p>
          <w:p w14:paraId="77A0EB83" w14:textId="1C8A2E6B" w:rsidR="00F50582" w:rsidRDefault="00F50582" w:rsidP="00B207E9">
            <w:pPr>
              <w:jc w:val="both"/>
            </w:pPr>
          </w:p>
        </w:tc>
        <w:tc>
          <w:tcPr>
            <w:tcW w:w="4675" w:type="dxa"/>
          </w:tcPr>
          <w:p w14:paraId="7377FFBE" w14:textId="17CFF45D" w:rsidR="00C352F9" w:rsidRDefault="00C352F9" w:rsidP="00B207E9">
            <w:pPr>
              <w:jc w:val="both"/>
            </w:pPr>
            <w:r>
              <w:t xml:space="preserve">New form, </w:t>
            </w:r>
            <w:r w:rsidR="00F50582">
              <w:t>see Rule 1.07</w:t>
            </w:r>
          </w:p>
        </w:tc>
      </w:tr>
      <w:tr w:rsidR="00C352F9" w14:paraId="4945945B" w14:textId="77777777" w:rsidTr="00C352F9">
        <w:tc>
          <w:tcPr>
            <w:tcW w:w="4675" w:type="dxa"/>
          </w:tcPr>
          <w:p w14:paraId="1E4120BD" w14:textId="71FEF2A5" w:rsidR="00C352F9" w:rsidRDefault="00F50582" w:rsidP="00B207E9">
            <w:pPr>
              <w:jc w:val="both"/>
            </w:pPr>
            <w:r>
              <w:t>18A Summons to Witness</w:t>
            </w:r>
          </w:p>
        </w:tc>
        <w:tc>
          <w:tcPr>
            <w:tcW w:w="4675" w:type="dxa"/>
          </w:tcPr>
          <w:p w14:paraId="3FA67CF7" w14:textId="02D18726" w:rsidR="00C352F9" w:rsidRDefault="00F50582" w:rsidP="00B207E9">
            <w:pPr>
              <w:jc w:val="both"/>
            </w:pPr>
            <w:r>
              <w:t>Changed, see Rule 18.03</w:t>
            </w:r>
          </w:p>
          <w:p w14:paraId="4391BE7D" w14:textId="591DC6A6" w:rsidR="00F50582" w:rsidRDefault="00F50582" w:rsidP="00B207E9">
            <w:pPr>
              <w:jc w:val="both"/>
            </w:pPr>
          </w:p>
        </w:tc>
      </w:tr>
      <w:tr w:rsidR="00C352F9" w14:paraId="6C267131" w14:textId="77777777" w:rsidTr="00C352F9">
        <w:tc>
          <w:tcPr>
            <w:tcW w:w="4675" w:type="dxa"/>
          </w:tcPr>
          <w:p w14:paraId="0D5943D3" w14:textId="14AF85D6" w:rsidR="00C352F9" w:rsidRDefault="00F50582" w:rsidP="00B207E9">
            <w:pPr>
              <w:jc w:val="both"/>
            </w:pPr>
            <w:r>
              <w:lastRenderedPageBreak/>
              <w:t xml:space="preserve">20H Notice of Examination </w:t>
            </w:r>
          </w:p>
        </w:tc>
        <w:tc>
          <w:tcPr>
            <w:tcW w:w="4675" w:type="dxa"/>
          </w:tcPr>
          <w:p w14:paraId="49FB4276" w14:textId="77777777" w:rsidR="00C352F9" w:rsidRDefault="00F50582" w:rsidP="00B207E9">
            <w:pPr>
              <w:jc w:val="both"/>
            </w:pPr>
            <w:r>
              <w:t>Changed, see Rule 20.10</w:t>
            </w:r>
          </w:p>
          <w:p w14:paraId="348BA42F" w14:textId="2D896D4F" w:rsidR="00F50582" w:rsidRDefault="00F50582" w:rsidP="00B207E9">
            <w:pPr>
              <w:jc w:val="both"/>
            </w:pPr>
          </w:p>
        </w:tc>
      </w:tr>
      <w:tr w:rsidR="00F50582" w14:paraId="1F09DE5D" w14:textId="77777777" w:rsidTr="00C352F9">
        <w:tc>
          <w:tcPr>
            <w:tcW w:w="4675" w:type="dxa"/>
          </w:tcPr>
          <w:p w14:paraId="575A2C39" w14:textId="179FAA57" w:rsidR="00F50582" w:rsidRDefault="00F50582" w:rsidP="00B207E9">
            <w:pPr>
              <w:jc w:val="both"/>
            </w:pPr>
            <w:r>
              <w:t xml:space="preserve">20Q Notice of Garnishment Hearing </w:t>
            </w:r>
          </w:p>
        </w:tc>
        <w:tc>
          <w:tcPr>
            <w:tcW w:w="4675" w:type="dxa"/>
          </w:tcPr>
          <w:p w14:paraId="2FF17A81" w14:textId="77777777" w:rsidR="00F50582" w:rsidRDefault="00F50582" w:rsidP="00B207E9">
            <w:pPr>
              <w:jc w:val="both"/>
            </w:pPr>
            <w:r>
              <w:t>Changed, see Rule 20.08</w:t>
            </w:r>
          </w:p>
          <w:p w14:paraId="395F7B4C" w14:textId="74DD6A87" w:rsidR="00F50582" w:rsidRDefault="00F50582" w:rsidP="00B207E9">
            <w:pPr>
              <w:jc w:val="both"/>
            </w:pPr>
          </w:p>
        </w:tc>
      </w:tr>
    </w:tbl>
    <w:p w14:paraId="13A273AD" w14:textId="77777777" w:rsidR="00C352F9" w:rsidRPr="00542ED1" w:rsidRDefault="00C352F9" w:rsidP="00B207E9">
      <w:pPr>
        <w:jc w:val="both"/>
      </w:pPr>
    </w:p>
    <w:sectPr w:rsidR="00C352F9" w:rsidRPr="00542E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25CC" w14:textId="77777777" w:rsidR="009642D4" w:rsidRDefault="009642D4" w:rsidP="00EB54E4">
      <w:r>
        <w:separator/>
      </w:r>
    </w:p>
  </w:endnote>
  <w:endnote w:type="continuationSeparator" w:id="0">
    <w:p w14:paraId="6B7D5DBF" w14:textId="77777777" w:rsidR="009642D4" w:rsidRDefault="009642D4" w:rsidP="00EB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530737"/>
      <w:docPartObj>
        <w:docPartGallery w:val="Page Numbers (Bottom of Page)"/>
        <w:docPartUnique/>
      </w:docPartObj>
    </w:sdtPr>
    <w:sdtContent>
      <w:sdt>
        <w:sdtPr>
          <w:id w:val="-1769616900"/>
          <w:docPartObj>
            <w:docPartGallery w:val="Page Numbers (Top of Page)"/>
            <w:docPartUnique/>
          </w:docPartObj>
        </w:sdtPr>
        <w:sdtContent>
          <w:p w14:paraId="16CC515B" w14:textId="0CF0CAF1" w:rsidR="00910AD5" w:rsidRDefault="00910AD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8D825F4" w14:textId="77777777" w:rsidR="00910AD5" w:rsidRDefault="0091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731D" w14:textId="77777777" w:rsidR="009642D4" w:rsidRDefault="009642D4" w:rsidP="00EB54E4">
      <w:r>
        <w:separator/>
      </w:r>
    </w:p>
  </w:footnote>
  <w:footnote w:type="continuationSeparator" w:id="0">
    <w:p w14:paraId="6CC21F9A" w14:textId="77777777" w:rsidR="009642D4" w:rsidRDefault="009642D4" w:rsidP="00EB54E4">
      <w:r>
        <w:continuationSeparator/>
      </w:r>
    </w:p>
  </w:footnote>
  <w:footnote w:id="1">
    <w:p w14:paraId="28A95063" w14:textId="78D5492A" w:rsidR="00EB54E4" w:rsidRDefault="00EB54E4">
      <w:pPr>
        <w:pStyle w:val="FootnoteText"/>
      </w:pPr>
      <w:r>
        <w:rPr>
          <w:rStyle w:val="FootnoteReference"/>
        </w:rPr>
        <w:footnoteRef/>
      </w:r>
      <w:r>
        <w:t xml:space="preserve"> O. Reg. 25898: Rules of the Small Claims Court, online: </w:t>
      </w:r>
      <w:hyperlink r:id="rId1" w:history="1">
        <w:r w:rsidRPr="00577065">
          <w:rPr>
            <w:rStyle w:val="Hyperlink"/>
          </w:rPr>
          <w:t>https://www.ontario.ca/laws/regulation/980258</w:t>
        </w:r>
      </w:hyperlink>
      <w:r>
        <w:t xml:space="preserve"> </w:t>
      </w:r>
    </w:p>
  </w:footnote>
  <w:footnote w:id="2">
    <w:p w14:paraId="1C9AA927" w14:textId="46B39729" w:rsidR="00EB54E4" w:rsidRDefault="00EB54E4">
      <w:pPr>
        <w:pStyle w:val="FootnoteText"/>
      </w:pPr>
      <w:r>
        <w:rPr>
          <w:rStyle w:val="FootnoteReference"/>
        </w:rPr>
        <w:footnoteRef/>
      </w:r>
      <w:r>
        <w:t xml:space="preserve"> O. Reg. 3/25: Rules of the Small Claims Court, online: </w:t>
      </w:r>
      <w:hyperlink r:id="rId2" w:history="1">
        <w:r w:rsidRPr="00577065">
          <w:rPr>
            <w:rStyle w:val="Hyperlink"/>
          </w:rPr>
          <w:t>https://www.ontario.ca/laws/regulation/r25003</w:t>
        </w:r>
      </w:hyperlink>
    </w:p>
  </w:footnote>
  <w:footnote w:id="3">
    <w:p w14:paraId="5C2D3D66" w14:textId="079A54CB" w:rsidR="00EB54E4" w:rsidRDefault="00EB54E4">
      <w:pPr>
        <w:pStyle w:val="FootnoteText"/>
      </w:pPr>
      <w:r>
        <w:rPr>
          <w:rStyle w:val="FootnoteReference"/>
        </w:rPr>
        <w:footnoteRef/>
      </w:r>
      <w:r>
        <w:t xml:space="preserve"> R.S.O. 1990, c. C. 43</w:t>
      </w:r>
    </w:p>
  </w:footnote>
  <w:footnote w:id="4">
    <w:p w14:paraId="5C30B19A" w14:textId="2C007C85" w:rsidR="003F4A3E" w:rsidRDefault="003F4A3E">
      <w:pPr>
        <w:pStyle w:val="FootnoteText"/>
      </w:pPr>
      <w:r>
        <w:rPr>
          <w:rStyle w:val="FootnoteReference"/>
        </w:rPr>
        <w:footnoteRef/>
      </w:r>
      <w:r>
        <w:t xml:space="preserve"> Guidelines to Determine Hearing Method in the Small Claims Court, online: </w:t>
      </w:r>
      <w:r w:rsidRPr="003F4A3E">
        <w:t>https://www.ontariocourts.ca/scj/practice/guidelines-mode-of-proceedings/guidelines-small-claims/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931F7"/>
    <w:multiLevelType w:val="hybridMultilevel"/>
    <w:tmpl w:val="C5888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B2962"/>
    <w:multiLevelType w:val="hybridMultilevel"/>
    <w:tmpl w:val="E79CD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512510">
    <w:abstractNumId w:val="0"/>
  </w:num>
  <w:num w:numId="2" w16cid:durableId="151618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12"/>
    <w:rsid w:val="000223A2"/>
    <w:rsid w:val="00031117"/>
    <w:rsid w:val="00046558"/>
    <w:rsid w:val="00055454"/>
    <w:rsid w:val="0005561F"/>
    <w:rsid w:val="0009421E"/>
    <w:rsid w:val="00094E30"/>
    <w:rsid w:val="000A08E8"/>
    <w:rsid w:val="000D4BF3"/>
    <w:rsid w:val="00137382"/>
    <w:rsid w:val="00182363"/>
    <w:rsid w:val="001B0552"/>
    <w:rsid w:val="001D41E5"/>
    <w:rsid w:val="00323775"/>
    <w:rsid w:val="00342734"/>
    <w:rsid w:val="003C0C78"/>
    <w:rsid w:val="003F4A3E"/>
    <w:rsid w:val="004610E3"/>
    <w:rsid w:val="00496F4E"/>
    <w:rsid w:val="004D0AB6"/>
    <w:rsid w:val="004E319D"/>
    <w:rsid w:val="004E633F"/>
    <w:rsid w:val="004F1812"/>
    <w:rsid w:val="00542ED1"/>
    <w:rsid w:val="0054608E"/>
    <w:rsid w:val="006210AD"/>
    <w:rsid w:val="006738ED"/>
    <w:rsid w:val="006B7EC3"/>
    <w:rsid w:val="007935A0"/>
    <w:rsid w:val="007C2883"/>
    <w:rsid w:val="008B463C"/>
    <w:rsid w:val="00905276"/>
    <w:rsid w:val="00910AD5"/>
    <w:rsid w:val="00920F8E"/>
    <w:rsid w:val="009417E6"/>
    <w:rsid w:val="0095432D"/>
    <w:rsid w:val="009642D4"/>
    <w:rsid w:val="00991681"/>
    <w:rsid w:val="0099614A"/>
    <w:rsid w:val="009B4363"/>
    <w:rsid w:val="009C1E4B"/>
    <w:rsid w:val="00AF4674"/>
    <w:rsid w:val="00B0639C"/>
    <w:rsid w:val="00B207E9"/>
    <w:rsid w:val="00B45745"/>
    <w:rsid w:val="00BD3B69"/>
    <w:rsid w:val="00BF327A"/>
    <w:rsid w:val="00C352F9"/>
    <w:rsid w:val="00C57094"/>
    <w:rsid w:val="00C752AC"/>
    <w:rsid w:val="00C80B7B"/>
    <w:rsid w:val="00CE42CE"/>
    <w:rsid w:val="00DD148B"/>
    <w:rsid w:val="00DE0871"/>
    <w:rsid w:val="00E35C9C"/>
    <w:rsid w:val="00EB54E4"/>
    <w:rsid w:val="00ED4230"/>
    <w:rsid w:val="00F077D3"/>
    <w:rsid w:val="00F25335"/>
    <w:rsid w:val="00F27FEE"/>
    <w:rsid w:val="00F50582"/>
    <w:rsid w:val="00FA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BCF1"/>
  <w15:chartTrackingRefBased/>
  <w15:docId w15:val="{68D97A78-E6D2-4317-BDD6-4FDD0C05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1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181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18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181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18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18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18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18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8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18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181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181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181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18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18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18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18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18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8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8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18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1812"/>
    <w:rPr>
      <w:i/>
      <w:iCs/>
      <w:color w:val="404040" w:themeColor="text1" w:themeTint="BF"/>
    </w:rPr>
  </w:style>
  <w:style w:type="paragraph" w:styleId="ListParagraph">
    <w:name w:val="List Paragraph"/>
    <w:basedOn w:val="Normal"/>
    <w:uiPriority w:val="34"/>
    <w:qFormat/>
    <w:rsid w:val="004F1812"/>
    <w:pPr>
      <w:ind w:left="720"/>
      <w:contextualSpacing/>
    </w:pPr>
  </w:style>
  <w:style w:type="character" w:styleId="IntenseEmphasis">
    <w:name w:val="Intense Emphasis"/>
    <w:basedOn w:val="DefaultParagraphFont"/>
    <w:uiPriority w:val="21"/>
    <w:qFormat/>
    <w:rsid w:val="004F1812"/>
    <w:rPr>
      <w:i/>
      <w:iCs/>
      <w:color w:val="2F5496" w:themeColor="accent1" w:themeShade="BF"/>
    </w:rPr>
  </w:style>
  <w:style w:type="paragraph" w:styleId="IntenseQuote">
    <w:name w:val="Intense Quote"/>
    <w:basedOn w:val="Normal"/>
    <w:next w:val="Normal"/>
    <w:link w:val="IntenseQuoteChar"/>
    <w:uiPriority w:val="30"/>
    <w:qFormat/>
    <w:rsid w:val="004F1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1812"/>
    <w:rPr>
      <w:i/>
      <w:iCs/>
      <w:color w:val="2F5496" w:themeColor="accent1" w:themeShade="BF"/>
    </w:rPr>
  </w:style>
  <w:style w:type="character" w:styleId="IntenseReference">
    <w:name w:val="Intense Reference"/>
    <w:basedOn w:val="DefaultParagraphFont"/>
    <w:uiPriority w:val="32"/>
    <w:qFormat/>
    <w:rsid w:val="004F1812"/>
    <w:rPr>
      <w:b/>
      <w:bCs/>
      <w:smallCaps/>
      <w:color w:val="2F5496" w:themeColor="accent1" w:themeShade="BF"/>
      <w:spacing w:val="5"/>
    </w:rPr>
  </w:style>
  <w:style w:type="paragraph" w:styleId="FootnoteText">
    <w:name w:val="footnote text"/>
    <w:basedOn w:val="Normal"/>
    <w:link w:val="FootnoteTextChar"/>
    <w:uiPriority w:val="99"/>
    <w:semiHidden/>
    <w:unhideWhenUsed/>
    <w:rsid w:val="00EB54E4"/>
    <w:rPr>
      <w:sz w:val="20"/>
      <w:szCs w:val="20"/>
    </w:rPr>
  </w:style>
  <w:style w:type="character" w:customStyle="1" w:styleId="FootnoteTextChar">
    <w:name w:val="Footnote Text Char"/>
    <w:basedOn w:val="DefaultParagraphFont"/>
    <w:link w:val="FootnoteText"/>
    <w:uiPriority w:val="99"/>
    <w:semiHidden/>
    <w:rsid w:val="00EB54E4"/>
    <w:rPr>
      <w:sz w:val="20"/>
      <w:szCs w:val="20"/>
    </w:rPr>
  </w:style>
  <w:style w:type="character" w:styleId="FootnoteReference">
    <w:name w:val="footnote reference"/>
    <w:basedOn w:val="DefaultParagraphFont"/>
    <w:uiPriority w:val="99"/>
    <w:semiHidden/>
    <w:unhideWhenUsed/>
    <w:rsid w:val="00EB54E4"/>
    <w:rPr>
      <w:vertAlign w:val="superscript"/>
    </w:rPr>
  </w:style>
  <w:style w:type="character" w:styleId="Hyperlink">
    <w:name w:val="Hyperlink"/>
    <w:basedOn w:val="DefaultParagraphFont"/>
    <w:uiPriority w:val="99"/>
    <w:unhideWhenUsed/>
    <w:rsid w:val="00EB54E4"/>
    <w:rPr>
      <w:color w:val="0563C1" w:themeColor="hyperlink"/>
      <w:u w:val="single"/>
    </w:rPr>
  </w:style>
  <w:style w:type="character" w:styleId="UnresolvedMention">
    <w:name w:val="Unresolved Mention"/>
    <w:basedOn w:val="DefaultParagraphFont"/>
    <w:uiPriority w:val="99"/>
    <w:semiHidden/>
    <w:unhideWhenUsed/>
    <w:rsid w:val="00EB54E4"/>
    <w:rPr>
      <w:color w:val="605E5C"/>
      <w:shd w:val="clear" w:color="auto" w:fill="E1DFDD"/>
    </w:rPr>
  </w:style>
  <w:style w:type="paragraph" w:styleId="Header">
    <w:name w:val="header"/>
    <w:basedOn w:val="Normal"/>
    <w:link w:val="HeaderChar"/>
    <w:uiPriority w:val="99"/>
    <w:unhideWhenUsed/>
    <w:rsid w:val="00910AD5"/>
    <w:pPr>
      <w:tabs>
        <w:tab w:val="center" w:pos="4680"/>
        <w:tab w:val="right" w:pos="9360"/>
      </w:tabs>
    </w:pPr>
  </w:style>
  <w:style w:type="character" w:customStyle="1" w:styleId="HeaderChar">
    <w:name w:val="Header Char"/>
    <w:basedOn w:val="DefaultParagraphFont"/>
    <w:link w:val="Header"/>
    <w:uiPriority w:val="99"/>
    <w:rsid w:val="00910AD5"/>
  </w:style>
  <w:style w:type="paragraph" w:styleId="Footer">
    <w:name w:val="footer"/>
    <w:basedOn w:val="Normal"/>
    <w:link w:val="FooterChar"/>
    <w:uiPriority w:val="99"/>
    <w:unhideWhenUsed/>
    <w:rsid w:val="00910AD5"/>
    <w:pPr>
      <w:tabs>
        <w:tab w:val="center" w:pos="4680"/>
        <w:tab w:val="right" w:pos="9360"/>
      </w:tabs>
    </w:pPr>
  </w:style>
  <w:style w:type="character" w:customStyle="1" w:styleId="FooterChar">
    <w:name w:val="Footer Char"/>
    <w:basedOn w:val="DefaultParagraphFont"/>
    <w:link w:val="Footer"/>
    <w:uiPriority w:val="99"/>
    <w:rsid w:val="00910AD5"/>
  </w:style>
  <w:style w:type="table" w:styleId="TableGrid">
    <w:name w:val="Table Grid"/>
    <w:basedOn w:val="TableNormal"/>
    <w:uiPriority w:val="39"/>
    <w:rsid w:val="00C3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ntario.ca/laws/regulation/r25003" TargetMode="External"/><Relationship Id="rId1" Type="http://schemas.openxmlformats.org/officeDocument/2006/relationships/hyperlink" Target="https://www.ontario.ca/laws/regulation/980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4EA8D-8E16-4EE6-B401-17052EDF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7</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Laura Bast</cp:lastModifiedBy>
  <cp:revision>45</cp:revision>
  <dcterms:created xsi:type="dcterms:W3CDTF">2025-05-31T14:23:00Z</dcterms:created>
  <dcterms:modified xsi:type="dcterms:W3CDTF">2025-06-02T15:38:00Z</dcterms:modified>
</cp:coreProperties>
</file>