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6453" w14:textId="77777777" w:rsidR="00E85D63" w:rsidRDefault="00E85D63" w:rsidP="00E85D63">
      <w:pPr>
        <w:pStyle w:val="Heading1"/>
      </w:pPr>
      <w:r>
        <w:t>Errata</w:t>
      </w:r>
    </w:p>
    <w:p w14:paraId="0E2AA82F" w14:textId="1F17EA75" w:rsidR="00E85D63" w:rsidRDefault="003378FC" w:rsidP="00E85D63">
      <w:pPr>
        <w:pStyle w:val="Heading1"/>
      </w:pPr>
      <w:r>
        <w:t>Working with the Residential Tenancies Act</w:t>
      </w:r>
      <w:r w:rsidR="00E85D63">
        <w:t>, 5th Edition</w:t>
      </w:r>
    </w:p>
    <w:p w14:paraId="639F4DE1" w14:textId="5C64ADA0" w:rsidR="000E412A" w:rsidRDefault="000E412A"/>
    <w:p w14:paraId="57019958" w14:textId="51D7094E" w:rsidR="00F9620F" w:rsidRPr="00F9620F" w:rsidRDefault="003378FC">
      <w:pPr>
        <w:rPr>
          <w:i/>
          <w:iCs/>
        </w:rPr>
      </w:pPr>
      <w:r>
        <w:rPr>
          <w:i/>
          <w:iCs/>
        </w:rPr>
        <w:t>March 2</w:t>
      </w:r>
      <w:r w:rsidR="00ED42CD">
        <w:rPr>
          <w:i/>
          <w:iCs/>
        </w:rPr>
        <w:t>4</w:t>
      </w:r>
      <w:r>
        <w:rPr>
          <w:i/>
          <w:iCs/>
        </w:rPr>
        <w:t>, 2025</w:t>
      </w:r>
    </w:p>
    <w:p w14:paraId="1320AF42" w14:textId="77777777" w:rsidR="00F9620F" w:rsidRDefault="00F9620F"/>
    <w:p w14:paraId="4BFE8486" w14:textId="77777777" w:rsidR="00F9620F" w:rsidRDefault="00F9620F" w:rsidP="00F9620F">
      <w:pPr>
        <w:spacing w:after="120"/>
        <w:rPr>
          <w:rFonts w:eastAsia="MS ??"/>
          <w:b/>
          <w:bCs/>
          <w:color w:val="0D0D0D"/>
        </w:rPr>
      </w:pPr>
      <w:r w:rsidRPr="00B10588">
        <w:rPr>
          <w:rFonts w:eastAsia="MS ??"/>
          <w:b/>
          <w:bCs/>
          <w:color w:val="0D0D0D"/>
        </w:rPr>
        <w:t>Note: Ebooks</w:t>
      </w:r>
      <w:r>
        <w:rPr>
          <w:rFonts w:eastAsia="MS ??"/>
          <w:b/>
          <w:bCs/>
          <w:color w:val="0D0D0D"/>
        </w:rPr>
        <w:t xml:space="preserve"> purchased through emond.ca, VitalSource, or Campus </w:t>
      </w:r>
      <w:proofErr w:type="spellStart"/>
      <w:r>
        <w:rPr>
          <w:rFonts w:eastAsia="MS ??"/>
          <w:b/>
          <w:bCs/>
          <w:color w:val="0D0D0D"/>
        </w:rPr>
        <w:t>eBookstore</w:t>
      </w:r>
      <w:proofErr w:type="spellEnd"/>
      <w:r w:rsidRPr="00B10588">
        <w:rPr>
          <w:rFonts w:eastAsia="MS ??"/>
          <w:b/>
          <w:bCs/>
          <w:color w:val="0D0D0D"/>
        </w:rPr>
        <w:t xml:space="preserve"> </w:t>
      </w:r>
      <w:r>
        <w:rPr>
          <w:rFonts w:eastAsia="MS ??"/>
          <w:b/>
          <w:bCs/>
          <w:color w:val="0D0D0D"/>
        </w:rPr>
        <w:t xml:space="preserve">will have this correction made. If you do not see the change in your ebook, please connect </w:t>
      </w:r>
      <w:r w:rsidRPr="00BF062B">
        <w:rPr>
          <w:rFonts w:eastAsia="MS ??"/>
          <w:b/>
          <w:bCs/>
          <w:color w:val="0D0D0D"/>
        </w:rPr>
        <w:t>to VS/VS Emond online</w:t>
      </w:r>
      <w:r>
        <w:rPr>
          <w:rFonts w:eastAsia="MS ??"/>
          <w:b/>
          <w:bCs/>
          <w:color w:val="0D0D0D"/>
        </w:rPr>
        <w:t xml:space="preserve"> and open your ebook. Your ebook will then automatically download the updates. </w:t>
      </w:r>
    </w:p>
    <w:p w14:paraId="7E2EF88B" w14:textId="2765A853" w:rsidR="00F9620F" w:rsidRDefault="00F9620F" w:rsidP="00F9620F">
      <w:pPr>
        <w:spacing w:after="120"/>
        <w:rPr>
          <w:rFonts w:eastAsia="MS ??"/>
          <w:b/>
          <w:bCs/>
          <w:color w:val="0D0D0D"/>
        </w:rPr>
      </w:pPr>
      <w:r>
        <w:rPr>
          <w:rFonts w:eastAsia="MS ??"/>
          <w:b/>
          <w:bCs/>
          <w:color w:val="0D0D0D"/>
        </w:rPr>
        <w:t xml:space="preserve">Books reprinted with this change will have a line </w:t>
      </w:r>
      <w:r w:rsidR="00C416E9">
        <w:rPr>
          <w:rFonts w:eastAsia="MS ??"/>
          <w:b/>
          <w:bCs/>
          <w:color w:val="0D0D0D"/>
        </w:rPr>
        <w:t>stating that it was r</w:t>
      </w:r>
      <w:r>
        <w:rPr>
          <w:rFonts w:eastAsia="MS ??"/>
          <w:b/>
          <w:bCs/>
          <w:color w:val="0D0D0D"/>
        </w:rPr>
        <w:t xml:space="preserve">eprinted </w:t>
      </w:r>
      <w:r w:rsidR="00113093">
        <w:rPr>
          <w:rFonts w:eastAsia="MS ??"/>
          <w:b/>
          <w:bCs/>
          <w:color w:val="0D0D0D"/>
        </w:rPr>
        <w:t>April 2025</w:t>
      </w:r>
      <w:r w:rsidR="00C416E9">
        <w:rPr>
          <w:rFonts w:eastAsia="MS ??"/>
          <w:b/>
          <w:bCs/>
          <w:color w:val="0D0D0D"/>
        </w:rPr>
        <w:t xml:space="preserve"> </w:t>
      </w:r>
      <w:r>
        <w:rPr>
          <w:rFonts w:eastAsia="MS ??"/>
          <w:b/>
          <w:bCs/>
          <w:color w:val="0D0D0D"/>
        </w:rPr>
        <w:t>on the copyright page, directly below “Printed in Canada.”</w:t>
      </w:r>
      <w:r w:rsidR="00C416E9">
        <w:rPr>
          <w:rFonts w:eastAsia="MS ??"/>
          <w:b/>
          <w:bCs/>
          <w:color w:val="0D0D0D"/>
        </w:rPr>
        <w:t xml:space="preserve"> If your book does not have this line, the following corrections will not have been made.</w:t>
      </w:r>
    </w:p>
    <w:p w14:paraId="0B5009E5" w14:textId="77777777" w:rsidR="003378FC" w:rsidRDefault="003378FC">
      <w:pPr>
        <w:rPr>
          <w:rFonts w:ascii="Calibri" w:eastAsia="Times New Roman" w:hAnsi="Calibri" w:cs="Calibri"/>
          <w:b/>
          <w:bCs/>
        </w:rPr>
      </w:pPr>
    </w:p>
    <w:p w14:paraId="0AF42C5E" w14:textId="77777777" w:rsidR="003378FC" w:rsidRDefault="003378FC"/>
    <w:p w14:paraId="35721F06" w14:textId="51C6C517" w:rsidR="00F9620F" w:rsidRDefault="003378FC" w:rsidP="003378FC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March 2</w:t>
      </w:r>
      <w:r w:rsidR="00ED42CD">
        <w:rPr>
          <w:rFonts w:ascii="Calibri" w:eastAsia="Times New Roman" w:hAnsi="Calibri" w:cs="Calibri"/>
          <w:b/>
          <w:bCs/>
        </w:rPr>
        <w:t>4</w:t>
      </w:r>
      <w:r>
        <w:rPr>
          <w:rFonts w:ascii="Calibri" w:eastAsia="Times New Roman" w:hAnsi="Calibri" w:cs="Calibri"/>
          <w:b/>
          <w:bCs/>
        </w:rPr>
        <w:t>, 2025:</w:t>
      </w:r>
    </w:p>
    <w:p w14:paraId="1A6A94BB" w14:textId="77777777" w:rsidR="003378FC" w:rsidRDefault="003378FC" w:rsidP="003378FC">
      <w:pPr>
        <w:rPr>
          <w:rFonts w:ascii="Calibri" w:eastAsia="Times New Roman" w:hAnsi="Calibri" w:cs="Calibri"/>
          <w:b/>
          <w:bCs/>
        </w:rPr>
      </w:pPr>
    </w:p>
    <w:p w14:paraId="5C8A8504" w14:textId="48BC1B1B" w:rsidR="003378FC" w:rsidRPr="003378FC" w:rsidRDefault="003378FC" w:rsidP="003378FC">
      <w:pPr>
        <w:numPr>
          <w:ilvl w:val="0"/>
          <w:numId w:val="4"/>
        </w:numPr>
        <w:rPr>
          <w:rFonts w:ascii="Aptos" w:eastAsia="Times New Roman" w:hAnsi="Aptos" w:cs="Times New Roman"/>
          <w:color w:val="212121"/>
        </w:rPr>
      </w:pPr>
      <w:r w:rsidRPr="003378FC">
        <w:rPr>
          <w:rFonts w:ascii="Aptos" w:eastAsia="Times New Roman" w:hAnsi="Aptos" w:cs="Times New Roman"/>
          <w:color w:val="212121"/>
          <w:sz w:val="22"/>
          <w:szCs w:val="22"/>
        </w:rPr>
        <w:t>P</w:t>
      </w:r>
      <w:r>
        <w:rPr>
          <w:rFonts w:ascii="Aptos" w:eastAsia="Times New Roman" w:hAnsi="Aptos" w:cs="Times New Roman"/>
          <w:color w:val="212121"/>
          <w:sz w:val="22"/>
          <w:szCs w:val="22"/>
        </w:rPr>
        <w:t>.</w:t>
      </w:r>
      <w:r w:rsidRPr="003378FC">
        <w:rPr>
          <w:rFonts w:ascii="Aptos" w:eastAsia="Times New Roman" w:hAnsi="Aptos" w:cs="Times New Roman"/>
          <w:color w:val="212121"/>
          <w:sz w:val="22"/>
          <w:szCs w:val="22"/>
        </w:rPr>
        <w:t xml:space="preserve"> 12</w:t>
      </w:r>
      <w:r>
        <w:rPr>
          <w:rFonts w:ascii="Aptos" w:eastAsia="Times New Roman" w:hAnsi="Aptos" w:cs="Times New Roman"/>
          <w:color w:val="212121"/>
          <w:sz w:val="22"/>
          <w:szCs w:val="22"/>
        </w:rPr>
        <w:t xml:space="preserve">, second last paragraph </w:t>
      </w:r>
      <w:r w:rsidRPr="003378FC">
        <w:rPr>
          <w:rFonts w:ascii="Aptos" w:eastAsia="Times New Roman" w:hAnsi="Aptos" w:cs="Times New Roman"/>
          <w:color w:val="212121"/>
          <w:sz w:val="22"/>
          <w:szCs w:val="22"/>
        </w:rPr>
        <w:t xml:space="preserve">– </w:t>
      </w:r>
      <w:r>
        <w:rPr>
          <w:rFonts w:ascii="Aptos" w:eastAsia="Times New Roman" w:hAnsi="Aptos" w:cs="Times New Roman"/>
          <w:color w:val="212121"/>
          <w:sz w:val="22"/>
          <w:szCs w:val="22"/>
        </w:rPr>
        <w:t xml:space="preserve">“Parts </w:t>
      </w:r>
      <w:r w:rsidRPr="003378FC">
        <w:rPr>
          <w:rFonts w:ascii="Aptos" w:eastAsia="Times New Roman" w:hAnsi="Aptos" w:cs="Times New Roman"/>
          <w:color w:val="212121"/>
          <w:sz w:val="22"/>
          <w:szCs w:val="22"/>
        </w:rPr>
        <w:t>XI through XIX</w:t>
      </w:r>
      <w:r>
        <w:rPr>
          <w:rFonts w:ascii="Aptos" w:eastAsia="Times New Roman" w:hAnsi="Aptos" w:cs="Times New Roman"/>
          <w:color w:val="212121"/>
          <w:sz w:val="22"/>
          <w:szCs w:val="22"/>
        </w:rPr>
        <w:t xml:space="preserve"> deal with …” should be “</w:t>
      </w:r>
      <w:r w:rsidRPr="003378FC">
        <w:rPr>
          <w:rFonts w:ascii="Aptos" w:eastAsia="Times New Roman" w:hAnsi="Aptos" w:cs="Times New Roman"/>
          <w:b/>
          <w:bCs/>
          <w:color w:val="212121"/>
          <w:sz w:val="22"/>
          <w:szCs w:val="22"/>
        </w:rPr>
        <w:t>Parts XIX to XVIII</w:t>
      </w:r>
      <w:r>
        <w:rPr>
          <w:rFonts w:ascii="Aptos" w:eastAsia="Times New Roman" w:hAnsi="Aptos" w:cs="Times New Roman"/>
          <w:color w:val="212121"/>
          <w:sz w:val="22"/>
          <w:szCs w:val="22"/>
        </w:rPr>
        <w:t xml:space="preserve"> deal with </w:t>
      </w:r>
      <w:proofErr w:type="gramStart"/>
      <w:r>
        <w:rPr>
          <w:rFonts w:ascii="Aptos" w:eastAsia="Times New Roman" w:hAnsi="Aptos" w:cs="Times New Roman"/>
          <w:color w:val="212121"/>
          <w:sz w:val="22"/>
          <w:szCs w:val="22"/>
        </w:rPr>
        <w:t>… .</w:t>
      </w:r>
      <w:proofErr w:type="gramEnd"/>
      <w:r>
        <w:rPr>
          <w:rFonts w:ascii="Aptos" w:eastAsia="Times New Roman" w:hAnsi="Aptos" w:cs="Times New Roman"/>
          <w:color w:val="212121"/>
          <w:sz w:val="22"/>
          <w:szCs w:val="22"/>
        </w:rPr>
        <w:t xml:space="preserve">” </w:t>
      </w:r>
    </w:p>
    <w:p w14:paraId="79F55E2C" w14:textId="4B1C0731" w:rsidR="00ED42CD" w:rsidRPr="00ED42CD" w:rsidRDefault="003378FC" w:rsidP="00ED42CD">
      <w:pPr>
        <w:numPr>
          <w:ilvl w:val="0"/>
          <w:numId w:val="4"/>
        </w:numPr>
        <w:rPr>
          <w:rFonts w:ascii="Aptos" w:eastAsia="Times New Roman" w:hAnsi="Aptos" w:cs="Times New Roman"/>
          <w:color w:val="212121"/>
        </w:rPr>
      </w:pPr>
      <w:r w:rsidRPr="00ED42CD">
        <w:rPr>
          <w:rFonts w:ascii="Aptos" w:eastAsia="Times New Roman" w:hAnsi="Aptos" w:cs="Times New Roman"/>
          <w:color w:val="212121"/>
          <w:sz w:val="22"/>
          <w:szCs w:val="22"/>
        </w:rPr>
        <w:t>P. 16, second last paragraph – </w:t>
      </w:r>
      <w:r w:rsidR="00ED42CD">
        <w:rPr>
          <w:rFonts w:ascii="Aptos" w:eastAsia="Times New Roman" w:hAnsi="Aptos" w:cs="Times New Roman"/>
          <w:b/>
          <w:bCs/>
          <w:color w:val="212121"/>
          <w:sz w:val="22"/>
          <w:szCs w:val="22"/>
        </w:rPr>
        <w:t>The whole paragraph (below) is removed</w:t>
      </w:r>
      <w:r w:rsidR="00ED42CD" w:rsidRPr="00ED42CD">
        <w:rPr>
          <w:rFonts w:ascii="Aptos" w:eastAsia="Times New Roman" w:hAnsi="Aptos" w:cs="Times New Roman"/>
          <w:b/>
          <w:bCs/>
          <w:color w:val="212121"/>
          <w:sz w:val="22"/>
          <w:szCs w:val="22"/>
        </w:rPr>
        <w:t xml:space="preserve"> </w:t>
      </w:r>
    </w:p>
    <w:p w14:paraId="7C5A37C8" w14:textId="77777777" w:rsidR="00ED42CD" w:rsidRDefault="00ED42CD" w:rsidP="00ED42CD"/>
    <w:p w14:paraId="0256F46A" w14:textId="6E20D362" w:rsidR="00ED42CD" w:rsidRPr="00ED42CD" w:rsidRDefault="00ED42CD" w:rsidP="00ED42CD">
      <w:pPr>
        <w:ind w:left="720"/>
        <w:rPr>
          <w:rFonts w:ascii="Aptos" w:eastAsia="Times New Roman" w:hAnsi="Aptos" w:cs="Times New Roman"/>
          <w:color w:val="212121"/>
          <w:sz w:val="20"/>
          <w:szCs w:val="20"/>
          <w:highlight w:val="yellow"/>
        </w:rPr>
      </w:pPr>
      <w:r w:rsidRPr="00ED42CD">
        <w:rPr>
          <w:sz w:val="20"/>
          <w:szCs w:val="20"/>
        </w:rPr>
        <w:t>The Emond webpage for this book (&lt;www.emond.ca/wrta5&gt;) sets out a table of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concordance so that you can determine which sections of the TPA may be identical or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equivalent to sections of the RTA. By using the table of concordance, you can search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the correct section number online for precedent cases under the TPA. The webpage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also sets out a table of differences so that you can determine whether the sections are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identical, and if not, what changes were made. This table is useful in determining what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the law was when the tribunal made decisions under the TPA and whether those</w:t>
      </w:r>
      <w:r w:rsidRPr="00ED42CD">
        <w:rPr>
          <w:rFonts w:ascii="Aptos" w:eastAsia="Times New Roman" w:hAnsi="Aptos" w:cs="Times New Roman"/>
          <w:color w:val="212121"/>
          <w:sz w:val="20"/>
          <w:szCs w:val="20"/>
        </w:rPr>
        <w:t xml:space="preserve"> </w:t>
      </w:r>
      <w:r w:rsidRPr="00ED42CD">
        <w:rPr>
          <w:sz w:val="20"/>
          <w:szCs w:val="20"/>
        </w:rPr>
        <w:t>decisions may be applicable as precedents before the Board under the RTA.</w:t>
      </w:r>
    </w:p>
    <w:p w14:paraId="1EAE6BD4" w14:textId="77777777" w:rsidR="00ED42CD" w:rsidRPr="00ED42CD" w:rsidRDefault="00ED42CD" w:rsidP="00ED42CD">
      <w:pPr>
        <w:ind w:left="720"/>
        <w:rPr>
          <w:rFonts w:cstheme="minorHAnsi"/>
        </w:rPr>
      </w:pPr>
    </w:p>
    <w:p w14:paraId="5E8388FA" w14:textId="2C1AE420" w:rsidR="003378FC" w:rsidRPr="003378FC" w:rsidRDefault="003378FC" w:rsidP="000F6CD9">
      <w:pPr>
        <w:numPr>
          <w:ilvl w:val="0"/>
          <w:numId w:val="4"/>
        </w:numPr>
        <w:rPr>
          <w:rFonts w:cstheme="minorHAnsi"/>
        </w:rPr>
      </w:pPr>
      <w:r w:rsidRPr="003378FC">
        <w:rPr>
          <w:rFonts w:ascii="Aptos" w:eastAsia="Times New Roman" w:hAnsi="Aptos" w:cs="Times New Roman"/>
          <w:color w:val="212121"/>
          <w:sz w:val="22"/>
          <w:szCs w:val="22"/>
        </w:rPr>
        <w:t xml:space="preserve">P. 96, Table 9.2, Row 7, “Interfering with reasonable enjoyment of small landlord” – Column 2, Form N5 should be </w:t>
      </w:r>
      <w:r w:rsidRPr="003378FC">
        <w:rPr>
          <w:rFonts w:ascii="Aptos" w:eastAsia="Times New Roman" w:hAnsi="Aptos" w:cs="Times New Roman"/>
          <w:b/>
          <w:bCs/>
          <w:color w:val="212121"/>
          <w:sz w:val="22"/>
          <w:szCs w:val="22"/>
        </w:rPr>
        <w:t>N7</w:t>
      </w:r>
      <w:r w:rsidRPr="003378FC">
        <w:rPr>
          <w:rFonts w:ascii="Aptos" w:eastAsia="Times New Roman" w:hAnsi="Aptos" w:cs="Times New Roman"/>
          <w:color w:val="212121"/>
          <w:sz w:val="22"/>
          <w:szCs w:val="22"/>
        </w:rPr>
        <w:t xml:space="preserve">. </w:t>
      </w:r>
    </w:p>
    <w:sectPr w:rsidR="003378FC" w:rsidRPr="003378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D15"/>
    <w:multiLevelType w:val="hybridMultilevel"/>
    <w:tmpl w:val="71728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62200"/>
    <w:multiLevelType w:val="hybridMultilevel"/>
    <w:tmpl w:val="DFD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653A2"/>
    <w:multiLevelType w:val="multilevel"/>
    <w:tmpl w:val="4B46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FA1A17"/>
    <w:multiLevelType w:val="hybridMultilevel"/>
    <w:tmpl w:val="4F501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365576">
    <w:abstractNumId w:val="1"/>
  </w:num>
  <w:num w:numId="2" w16cid:durableId="1131557407">
    <w:abstractNumId w:val="0"/>
  </w:num>
  <w:num w:numId="3" w16cid:durableId="1465584575">
    <w:abstractNumId w:val="3"/>
  </w:num>
  <w:num w:numId="4" w16cid:durableId="159759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63"/>
    <w:rsid w:val="00040C80"/>
    <w:rsid w:val="000E412A"/>
    <w:rsid w:val="000F1A99"/>
    <w:rsid w:val="00113093"/>
    <w:rsid w:val="00170B44"/>
    <w:rsid w:val="0019029C"/>
    <w:rsid w:val="00191D68"/>
    <w:rsid w:val="0027247F"/>
    <w:rsid w:val="00282B1C"/>
    <w:rsid w:val="003378FC"/>
    <w:rsid w:val="00367DFF"/>
    <w:rsid w:val="003B5081"/>
    <w:rsid w:val="0052105E"/>
    <w:rsid w:val="00523DA1"/>
    <w:rsid w:val="006109D7"/>
    <w:rsid w:val="00667790"/>
    <w:rsid w:val="0089279A"/>
    <w:rsid w:val="008D0162"/>
    <w:rsid w:val="0093593F"/>
    <w:rsid w:val="00A00AE0"/>
    <w:rsid w:val="00A21CCF"/>
    <w:rsid w:val="00A23443"/>
    <w:rsid w:val="00AD0471"/>
    <w:rsid w:val="00C416E9"/>
    <w:rsid w:val="00C42BFA"/>
    <w:rsid w:val="00D85D8A"/>
    <w:rsid w:val="00E85D63"/>
    <w:rsid w:val="00EA58FF"/>
    <w:rsid w:val="00ED42CD"/>
    <w:rsid w:val="00F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3747"/>
  <w15:chartTrackingRefBased/>
  <w15:docId w15:val="{0BA94639-9FA3-0946-8644-06AEAE52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5D6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91D68"/>
  </w:style>
  <w:style w:type="paragraph" w:styleId="Revision">
    <w:name w:val="Revision"/>
    <w:hidden/>
    <w:uiPriority w:val="99"/>
    <w:semiHidden/>
    <w:rsid w:val="00D85D8A"/>
  </w:style>
  <w:style w:type="character" w:styleId="CommentReference">
    <w:name w:val="annotation reference"/>
    <w:basedOn w:val="DefaultParagraphFont"/>
    <w:uiPriority w:val="99"/>
    <w:semiHidden/>
    <w:unhideWhenUsed/>
    <w:rsid w:val="0033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8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Vee Quach</cp:lastModifiedBy>
  <cp:revision>7</cp:revision>
  <dcterms:created xsi:type="dcterms:W3CDTF">2022-01-24T16:35:00Z</dcterms:created>
  <dcterms:modified xsi:type="dcterms:W3CDTF">2025-03-24T14:52:00Z</dcterms:modified>
</cp:coreProperties>
</file>