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39D26" w14:textId="77777777" w:rsidR="004D6104" w:rsidRDefault="004D6104" w:rsidP="005A521A">
      <w:pPr>
        <w:jc w:val="center"/>
        <w:rPr>
          <w:lang w:val="en-US"/>
        </w:rPr>
      </w:pPr>
    </w:p>
    <w:p w14:paraId="09AEDA7A" w14:textId="49F0C508" w:rsidR="00AB7C19" w:rsidRDefault="005A521A" w:rsidP="005A521A">
      <w:pPr>
        <w:jc w:val="center"/>
        <w:rPr>
          <w:lang w:val="en-US"/>
        </w:rPr>
      </w:pPr>
      <w:r>
        <w:rPr>
          <w:lang w:val="en-US"/>
        </w:rPr>
        <w:t>WORKING WITH THE RESIDENTIAL TENANCIES ACT, 5</w:t>
      </w:r>
      <w:r w:rsidRPr="005A521A">
        <w:rPr>
          <w:vertAlign w:val="superscript"/>
          <w:lang w:val="en-US"/>
        </w:rPr>
        <w:t>th</w:t>
      </w:r>
      <w:r>
        <w:rPr>
          <w:lang w:val="en-US"/>
        </w:rPr>
        <w:t xml:space="preserve"> Edition</w:t>
      </w:r>
    </w:p>
    <w:p w14:paraId="0648D67E" w14:textId="3E5053B9" w:rsidR="005A521A" w:rsidRDefault="005A521A" w:rsidP="005A521A">
      <w:pPr>
        <w:jc w:val="center"/>
        <w:rPr>
          <w:lang w:val="en-US"/>
        </w:rPr>
      </w:pPr>
      <w:r>
        <w:rPr>
          <w:lang w:val="en-US"/>
        </w:rPr>
        <w:t>By John Dickie &amp; David Lyman</w:t>
      </w:r>
    </w:p>
    <w:p w14:paraId="4D443F37" w14:textId="15441A2F" w:rsidR="001458F3" w:rsidRDefault="001458F3" w:rsidP="001458F3">
      <w:pPr>
        <w:rPr>
          <w:lang w:val="en-US"/>
        </w:rPr>
      </w:pPr>
      <w:r>
        <w:rPr>
          <w:lang w:val="en-US"/>
        </w:rPr>
        <w:t>This is to update WORKING WITH THE RESIDENTIAL TENANCIES ACT, 5</w:t>
      </w:r>
      <w:r w:rsidRPr="005A521A">
        <w:rPr>
          <w:vertAlign w:val="superscript"/>
          <w:lang w:val="en-US"/>
        </w:rPr>
        <w:t>th</w:t>
      </w:r>
      <w:r>
        <w:rPr>
          <w:lang w:val="en-US"/>
        </w:rPr>
        <w:t xml:space="preserve"> Edition</w:t>
      </w:r>
      <w:r w:rsidR="0074501C">
        <w:rPr>
          <w:lang w:val="en-US"/>
        </w:rPr>
        <w:t>, to August 14, 2023.</w:t>
      </w:r>
    </w:p>
    <w:p w14:paraId="617EEB34" w14:textId="508728F8" w:rsidR="005A521A" w:rsidRPr="007B46E0" w:rsidRDefault="005A521A" w:rsidP="00DD4014">
      <w:pPr>
        <w:spacing w:after="80"/>
        <w:rPr>
          <w:b/>
          <w:bCs/>
          <w:lang w:val="en-US"/>
        </w:rPr>
      </w:pPr>
      <w:r w:rsidRPr="007B46E0">
        <w:rPr>
          <w:b/>
          <w:bCs/>
          <w:lang w:val="en-US"/>
        </w:rPr>
        <w:t>Note on Expanded Landlord and Tenant Board Jurisdiction</w:t>
      </w:r>
    </w:p>
    <w:p w14:paraId="47485565" w14:textId="791CB2CD" w:rsidR="005A521A" w:rsidRDefault="005A521A" w:rsidP="00DD4014">
      <w:pPr>
        <w:spacing w:after="120" w:line="252" w:lineRule="auto"/>
        <w:rPr>
          <w:lang w:val="en-US"/>
        </w:rPr>
      </w:pPr>
      <w:r>
        <w:rPr>
          <w:lang w:val="en-US"/>
        </w:rPr>
        <w:t>It is important to read and absorb that note</w:t>
      </w:r>
      <w:r w:rsidR="001458F3">
        <w:rPr>
          <w:lang w:val="en-US"/>
        </w:rPr>
        <w:t xml:space="preserve"> and the two points that follow.</w:t>
      </w:r>
    </w:p>
    <w:p w14:paraId="3D1EE855" w14:textId="77777777" w:rsidR="00156E4F" w:rsidRPr="001458F3" w:rsidRDefault="005E3AC9" w:rsidP="00DD4014">
      <w:pPr>
        <w:spacing w:after="120" w:line="252" w:lineRule="auto"/>
        <w:rPr>
          <w:rFonts w:cstheme="minorHAnsi"/>
          <w:color w:val="000000"/>
          <w:shd w:val="clear" w:color="auto" w:fill="FFFFFF"/>
        </w:rPr>
      </w:pPr>
      <w:r>
        <w:rPr>
          <w:lang w:val="en-US"/>
        </w:rPr>
        <w:t>Concerning the information in the last paragraph on page xix, u</w:t>
      </w:r>
      <w:r w:rsidR="00B845FA">
        <w:rPr>
          <w:lang w:val="en-US"/>
        </w:rPr>
        <w:t>ser</w:t>
      </w:r>
      <w:r w:rsidR="00811FD5">
        <w:rPr>
          <w:lang w:val="en-US"/>
        </w:rPr>
        <w:t>s</w:t>
      </w:r>
      <w:r w:rsidR="00B845FA">
        <w:rPr>
          <w:lang w:val="en-US"/>
        </w:rPr>
        <w:t xml:space="preserve"> of the text should also refer to section</w:t>
      </w:r>
      <w:r>
        <w:rPr>
          <w:lang w:val="en-US"/>
        </w:rPr>
        <w:t xml:space="preserve"> 189.0.1,</w:t>
      </w:r>
      <w:r w:rsidR="00B845FA">
        <w:rPr>
          <w:lang w:val="en-US"/>
        </w:rPr>
        <w:t xml:space="preserve"> which provide</w:t>
      </w:r>
      <w:r>
        <w:rPr>
          <w:lang w:val="en-US"/>
        </w:rPr>
        <w:t>s</w:t>
      </w:r>
      <w:r w:rsidR="00B845FA">
        <w:rPr>
          <w:lang w:val="en-US"/>
        </w:rPr>
        <w:t xml:space="preserve"> for the applicant to serve the application and notice of hearing on former tenants</w:t>
      </w:r>
      <w:r w:rsidR="007B46E0">
        <w:rPr>
          <w:lang w:val="en-US"/>
        </w:rPr>
        <w:t xml:space="preserve">. </w:t>
      </w:r>
      <w:r w:rsidR="00E052FD">
        <w:rPr>
          <w:lang w:val="en-US"/>
        </w:rPr>
        <w:t xml:space="preserve">See also Rule 5.8, which provides: </w:t>
      </w:r>
      <w:r w:rsidR="00E052FD" w:rsidRPr="00C6264E">
        <w:rPr>
          <w:rFonts w:ascii="Calibri" w:hAnsi="Calibri" w:cs="Calibri"/>
          <w:lang w:val="en-US"/>
        </w:rPr>
        <w:t>“</w:t>
      </w:r>
      <w:r w:rsidR="00E052FD" w:rsidRPr="00C6264E">
        <w:rPr>
          <w:rFonts w:ascii="Calibri" w:hAnsi="Calibri" w:cs="Calibri"/>
          <w:color w:val="000000"/>
          <w:shd w:val="clear" w:color="auto" w:fill="FFFFFF"/>
        </w:rPr>
        <w:t xml:space="preserve">A landlord’s Application to Collect Money a Former </w:t>
      </w:r>
      <w:r w:rsidR="00E052FD" w:rsidRPr="00156E4F">
        <w:rPr>
          <w:rFonts w:cstheme="minorHAnsi"/>
          <w:color w:val="000000"/>
          <w:shd w:val="clear" w:color="auto" w:fill="FFFFFF"/>
        </w:rPr>
        <w:t xml:space="preserve">Tenant Owes and the Notice of Hearing must be served </w:t>
      </w:r>
      <w:r w:rsidR="00E052FD" w:rsidRPr="00156E4F">
        <w:rPr>
          <w:rStyle w:val="Strong"/>
          <w:rFonts w:cstheme="minorHAnsi"/>
          <w:color w:val="000000"/>
          <w:shd w:val="clear" w:color="auto" w:fill="FFFFFF"/>
        </w:rPr>
        <w:t>at least 30 days</w:t>
      </w:r>
      <w:r w:rsidR="00E052FD" w:rsidRPr="00156E4F">
        <w:rPr>
          <w:rFonts w:cstheme="minorHAnsi"/>
          <w:color w:val="000000"/>
          <w:shd w:val="clear" w:color="auto" w:fill="FFFFFF"/>
        </w:rPr>
        <w:t xml:space="preserve"> before the hearing date set in </w:t>
      </w:r>
      <w:r w:rsidR="00E052FD" w:rsidRPr="001458F3">
        <w:rPr>
          <w:rFonts w:cstheme="minorHAnsi"/>
          <w:color w:val="000000"/>
          <w:shd w:val="clear" w:color="auto" w:fill="FFFFFF"/>
        </w:rPr>
        <w:t>the Notice of Hearing.”</w:t>
      </w:r>
    </w:p>
    <w:p w14:paraId="23A93B6B" w14:textId="6C9F1A76" w:rsidR="007B46E0" w:rsidRDefault="00C6264E" w:rsidP="008273D1">
      <w:pPr>
        <w:spacing w:after="120" w:line="252" w:lineRule="auto"/>
        <w:rPr>
          <w:lang w:val="en-US"/>
        </w:rPr>
      </w:pPr>
      <w:r w:rsidRPr="001458F3">
        <w:rPr>
          <w:rFonts w:cstheme="minorHAnsi"/>
          <w:color w:val="000000"/>
          <w:shd w:val="clear" w:color="auto" w:fill="FFFFFF"/>
        </w:rPr>
        <w:t>For several reasons</w:t>
      </w:r>
      <w:r w:rsidR="0078127E">
        <w:rPr>
          <w:rFonts w:cstheme="minorHAnsi"/>
          <w:color w:val="000000"/>
          <w:shd w:val="clear" w:color="auto" w:fill="FFFFFF"/>
        </w:rPr>
        <w:t>,</w:t>
      </w:r>
      <w:r w:rsidRPr="001458F3">
        <w:rPr>
          <w:rFonts w:cstheme="minorHAnsi"/>
          <w:color w:val="000000"/>
          <w:shd w:val="clear" w:color="auto" w:fill="FFFFFF"/>
        </w:rPr>
        <w:t xml:space="preserve"> a reque</w:t>
      </w:r>
      <w:r w:rsidR="008B1DB8" w:rsidRPr="001458F3">
        <w:rPr>
          <w:rFonts w:cstheme="minorHAnsi"/>
          <w:color w:val="000000"/>
          <w:shd w:val="clear" w:color="auto" w:fill="FFFFFF"/>
        </w:rPr>
        <w:t>st for sub</w:t>
      </w:r>
      <w:r w:rsidRPr="001458F3">
        <w:rPr>
          <w:rFonts w:cstheme="minorHAnsi"/>
          <w:color w:val="000000"/>
          <w:shd w:val="clear" w:color="auto" w:fill="FFFFFF"/>
        </w:rPr>
        <w:t xml:space="preserve">stituted </w:t>
      </w:r>
      <w:r w:rsidR="008B1DB8" w:rsidRPr="001458F3">
        <w:rPr>
          <w:rFonts w:cstheme="minorHAnsi"/>
          <w:color w:val="000000"/>
          <w:shd w:val="clear" w:color="auto" w:fill="FFFFFF"/>
        </w:rPr>
        <w:t xml:space="preserve">service </w:t>
      </w:r>
      <w:r w:rsidRPr="001458F3">
        <w:rPr>
          <w:rFonts w:cstheme="minorHAnsi"/>
          <w:color w:val="000000"/>
          <w:shd w:val="clear" w:color="auto" w:fill="FFFFFF"/>
        </w:rPr>
        <w:t xml:space="preserve">should be made early </w:t>
      </w:r>
      <w:r w:rsidR="00156E4F" w:rsidRPr="001458F3">
        <w:rPr>
          <w:rFonts w:cstheme="minorHAnsi"/>
          <w:color w:val="000000"/>
          <w:shd w:val="clear" w:color="auto" w:fill="FFFFFF"/>
        </w:rPr>
        <w:t xml:space="preserve">immediately </w:t>
      </w:r>
      <w:r w:rsidRPr="001458F3">
        <w:rPr>
          <w:rFonts w:cstheme="minorHAnsi"/>
          <w:color w:val="000000"/>
          <w:shd w:val="clear" w:color="auto" w:fill="FFFFFF"/>
        </w:rPr>
        <w:t>after the hearing notice is received</w:t>
      </w:r>
      <w:r w:rsidR="008B1DB8" w:rsidRPr="001458F3">
        <w:rPr>
          <w:rFonts w:cstheme="minorHAnsi"/>
          <w:color w:val="000000"/>
          <w:shd w:val="clear" w:color="auto" w:fill="FFFFFF"/>
        </w:rPr>
        <w:t>.</w:t>
      </w:r>
      <w:r w:rsidRPr="001458F3">
        <w:rPr>
          <w:rFonts w:cstheme="minorHAnsi"/>
          <w:color w:val="000000"/>
          <w:shd w:val="clear" w:color="auto" w:fill="FFFFFF"/>
        </w:rPr>
        <w:t xml:space="preserve"> </w:t>
      </w:r>
      <w:r w:rsidR="00156E4F" w:rsidRPr="001458F3">
        <w:rPr>
          <w:rFonts w:cstheme="minorHAnsi"/>
          <w:color w:val="000000"/>
          <w:shd w:val="clear" w:color="auto" w:fill="FFFFFF"/>
        </w:rPr>
        <w:t xml:space="preserve">The first step is usually to try to achieve actual service by hand as soon as possible after the hearing notice is received. If using a process server, you should impress upon them the need for speedy action, and the need for them to record the attempts made, and any evidence that the tenant </w:t>
      </w:r>
      <w:r w:rsidR="0078127E">
        <w:rPr>
          <w:rFonts w:cstheme="minorHAnsi"/>
          <w:color w:val="000000"/>
          <w:shd w:val="clear" w:color="auto" w:fill="FFFFFF"/>
        </w:rPr>
        <w:t xml:space="preserve">is </w:t>
      </w:r>
      <w:r w:rsidR="00156E4F" w:rsidRPr="001458F3">
        <w:rPr>
          <w:rFonts w:cstheme="minorHAnsi"/>
          <w:color w:val="000000"/>
          <w:shd w:val="clear" w:color="auto" w:fill="FFFFFF"/>
        </w:rPr>
        <w:t xml:space="preserve">evading service. That information </w:t>
      </w:r>
      <w:r w:rsidR="008273D1" w:rsidRPr="001458F3">
        <w:rPr>
          <w:rFonts w:cstheme="minorHAnsi"/>
          <w:color w:val="000000"/>
          <w:shd w:val="clear" w:color="auto" w:fill="FFFFFF"/>
        </w:rPr>
        <w:t xml:space="preserve">will be needed to </w:t>
      </w:r>
      <w:r w:rsidR="00156E4F" w:rsidRPr="001458F3">
        <w:rPr>
          <w:rFonts w:cstheme="minorHAnsi"/>
          <w:color w:val="000000"/>
          <w:shd w:val="clear" w:color="auto" w:fill="FFFFFF"/>
        </w:rPr>
        <w:t xml:space="preserve">support </w:t>
      </w:r>
      <w:r w:rsidR="008273D1" w:rsidRPr="001458F3">
        <w:rPr>
          <w:rFonts w:cstheme="minorHAnsi"/>
          <w:color w:val="000000"/>
          <w:shd w:val="clear" w:color="auto" w:fill="FFFFFF"/>
        </w:rPr>
        <w:t>your request for an order for substituted service.</w:t>
      </w:r>
    </w:p>
    <w:p w14:paraId="68B030A4" w14:textId="274CACDF" w:rsidR="005A521A" w:rsidRPr="00A915E2" w:rsidRDefault="007B46E0" w:rsidP="00DD4014">
      <w:pPr>
        <w:spacing w:after="80"/>
        <w:rPr>
          <w:b/>
          <w:bCs/>
          <w:lang w:val="en-US"/>
        </w:rPr>
      </w:pPr>
      <w:r w:rsidRPr="00A915E2">
        <w:rPr>
          <w:b/>
          <w:bCs/>
          <w:lang w:val="en-US"/>
        </w:rPr>
        <w:t xml:space="preserve">Chapter 1 </w:t>
      </w:r>
      <w:r w:rsidR="0078127E">
        <w:rPr>
          <w:b/>
          <w:bCs/>
          <w:lang w:val="en-US"/>
        </w:rPr>
        <w:t>—</w:t>
      </w:r>
      <w:r w:rsidRPr="00A915E2">
        <w:rPr>
          <w:b/>
          <w:bCs/>
          <w:lang w:val="en-US"/>
        </w:rPr>
        <w:t xml:space="preserve"> Overview</w:t>
      </w:r>
    </w:p>
    <w:p w14:paraId="287C39F2" w14:textId="436EF932" w:rsidR="004D6104" w:rsidRDefault="004D6104">
      <w:pPr>
        <w:rPr>
          <w:lang w:val="en-US"/>
        </w:rPr>
      </w:pPr>
      <w:r>
        <w:rPr>
          <w:lang w:val="en-US"/>
        </w:rPr>
        <w:t>At the bottom of TABLE 1.1</w:t>
      </w:r>
      <w:r w:rsidR="0078127E">
        <w:rPr>
          <w:lang w:val="en-US"/>
        </w:rPr>
        <w:t>,</w:t>
      </w:r>
      <w:r>
        <w:rPr>
          <w:lang w:val="en-US"/>
        </w:rPr>
        <w:t xml:space="preserve"> insert </w:t>
      </w:r>
      <w:r w:rsidR="009A7F47">
        <w:rPr>
          <w:lang w:val="en-US"/>
        </w:rPr>
        <w:t>a</w:t>
      </w:r>
      <w:r>
        <w:rPr>
          <w:lang w:val="en-US"/>
        </w:rPr>
        <w:t xml:space="preserve"> new row in columns 1 and 2</w:t>
      </w:r>
      <w:r w:rsidR="0078127E">
        <w:rPr>
          <w:lang w:val="en-US"/>
        </w:rPr>
        <w:t xml:space="preserve"> </w:t>
      </w:r>
      <w:r>
        <w:rPr>
          <w:lang w:val="en-US"/>
        </w:rPr>
        <w:t>as follows:</w:t>
      </w:r>
    </w:p>
    <w:tbl>
      <w:tblPr>
        <w:tblStyle w:val="TableGrid"/>
        <w:tblW w:w="0" w:type="auto"/>
        <w:tblLook w:val="04A0" w:firstRow="1" w:lastRow="0" w:firstColumn="1" w:lastColumn="0" w:noHBand="0" w:noVBand="1"/>
      </w:tblPr>
      <w:tblGrid>
        <w:gridCol w:w="1466"/>
        <w:gridCol w:w="2628"/>
        <w:gridCol w:w="2628"/>
        <w:gridCol w:w="2628"/>
      </w:tblGrid>
      <w:tr w:rsidR="00A757B4" w14:paraId="7E68E2A9" w14:textId="49E808B9" w:rsidTr="00A757B4">
        <w:tc>
          <w:tcPr>
            <w:tcW w:w="1466" w:type="dxa"/>
          </w:tcPr>
          <w:p w14:paraId="0AEFC4EE" w14:textId="2DEFE55C" w:rsidR="00A757B4" w:rsidRPr="00A757B4" w:rsidRDefault="00A757B4" w:rsidP="00A757B4">
            <w:pPr>
              <w:spacing w:before="60" w:after="60"/>
              <w:jc w:val="center"/>
              <w:rPr>
                <w:b/>
                <w:bCs/>
                <w:lang w:val="en-US"/>
              </w:rPr>
            </w:pPr>
            <w:r w:rsidRPr="00A757B4">
              <w:rPr>
                <w:b/>
                <w:bCs/>
                <w:lang w:val="en-US"/>
              </w:rPr>
              <w:t>Date Stature Took Effect</w:t>
            </w:r>
          </w:p>
        </w:tc>
        <w:tc>
          <w:tcPr>
            <w:tcW w:w="2628" w:type="dxa"/>
          </w:tcPr>
          <w:p w14:paraId="2B628A85" w14:textId="6768364E" w:rsidR="00A757B4" w:rsidRPr="00A757B4" w:rsidRDefault="00A757B4" w:rsidP="00A757B4">
            <w:pPr>
              <w:spacing w:before="60" w:after="60"/>
              <w:jc w:val="center"/>
              <w:rPr>
                <w:b/>
                <w:bCs/>
                <w:lang w:val="en-US"/>
              </w:rPr>
            </w:pPr>
            <w:r w:rsidRPr="00A757B4">
              <w:rPr>
                <w:b/>
                <w:bCs/>
                <w:lang w:val="en-US"/>
              </w:rPr>
              <w:t>Name of the Statute</w:t>
            </w:r>
          </w:p>
        </w:tc>
        <w:tc>
          <w:tcPr>
            <w:tcW w:w="2628" w:type="dxa"/>
          </w:tcPr>
          <w:p w14:paraId="42FDA109" w14:textId="51427011" w:rsidR="00A757B4" w:rsidRPr="00A757B4" w:rsidRDefault="00A757B4" w:rsidP="00A757B4">
            <w:pPr>
              <w:spacing w:before="60" w:after="60"/>
              <w:jc w:val="center"/>
              <w:rPr>
                <w:b/>
                <w:bCs/>
                <w:lang w:val="en-US"/>
              </w:rPr>
            </w:pPr>
            <w:r w:rsidRPr="00A757B4">
              <w:rPr>
                <w:b/>
                <w:bCs/>
                <w:lang w:val="en-US"/>
              </w:rPr>
              <w:t>Name of the Decision-Making Body for Rent control</w:t>
            </w:r>
          </w:p>
        </w:tc>
        <w:tc>
          <w:tcPr>
            <w:tcW w:w="2628" w:type="dxa"/>
          </w:tcPr>
          <w:p w14:paraId="65A374AD" w14:textId="13A1D4F2" w:rsidR="00A757B4" w:rsidRPr="00A757B4" w:rsidRDefault="00A757B4" w:rsidP="00A757B4">
            <w:pPr>
              <w:spacing w:before="60" w:after="60"/>
              <w:jc w:val="center"/>
              <w:rPr>
                <w:b/>
                <w:bCs/>
                <w:lang w:val="en-US"/>
              </w:rPr>
            </w:pPr>
            <w:r w:rsidRPr="00A757B4">
              <w:rPr>
                <w:b/>
                <w:bCs/>
                <w:lang w:val="en-US"/>
              </w:rPr>
              <w:t>Notes</w:t>
            </w:r>
          </w:p>
        </w:tc>
      </w:tr>
      <w:tr w:rsidR="00A757B4" w14:paraId="5A5779D8" w14:textId="4ABFF806" w:rsidTr="00A757B4">
        <w:tc>
          <w:tcPr>
            <w:tcW w:w="1466" w:type="dxa"/>
          </w:tcPr>
          <w:p w14:paraId="18CC5F23" w14:textId="1A2EB4C1" w:rsidR="00A757B4" w:rsidRDefault="001C7A0C" w:rsidP="00A757B4">
            <w:pPr>
              <w:spacing w:before="60" w:after="60"/>
              <w:rPr>
                <w:lang w:val="en-US"/>
              </w:rPr>
            </w:pPr>
            <w:r>
              <w:rPr>
                <w:lang w:val="en-US"/>
              </w:rPr>
              <w:t>June 8, 2023</w:t>
            </w:r>
          </w:p>
        </w:tc>
        <w:tc>
          <w:tcPr>
            <w:tcW w:w="2628" w:type="dxa"/>
          </w:tcPr>
          <w:p w14:paraId="736A915C" w14:textId="1EA43654" w:rsidR="00A757B4" w:rsidRDefault="00AC5C55" w:rsidP="00A757B4">
            <w:pPr>
              <w:spacing w:before="60" w:after="60"/>
              <w:rPr>
                <w:lang w:val="en-US"/>
              </w:rPr>
            </w:pPr>
            <w:r w:rsidRPr="00AC5C55">
              <w:rPr>
                <w:i/>
                <w:iCs/>
                <w:lang w:val="en-US"/>
              </w:rPr>
              <w:t>Helping Homebuyers, Protecting Tenant Act, 2023</w:t>
            </w:r>
            <w:r>
              <w:rPr>
                <w:lang w:val="en-US"/>
              </w:rPr>
              <w:t xml:space="preserve"> (Bill 97)</w:t>
            </w:r>
            <w:r w:rsidR="009A7F47">
              <w:rPr>
                <w:lang w:val="en-US"/>
              </w:rPr>
              <w:t>, Schedule 7</w:t>
            </w:r>
            <w:r w:rsidR="00237EB5">
              <w:rPr>
                <w:lang w:val="en-US"/>
              </w:rPr>
              <w:t>**</w:t>
            </w:r>
          </w:p>
        </w:tc>
        <w:tc>
          <w:tcPr>
            <w:tcW w:w="2628" w:type="dxa"/>
          </w:tcPr>
          <w:p w14:paraId="03C8E878" w14:textId="77777777" w:rsidR="00A757B4" w:rsidRDefault="00A757B4" w:rsidP="00A757B4">
            <w:pPr>
              <w:spacing w:before="60" w:after="60"/>
              <w:rPr>
                <w:lang w:val="en-US"/>
              </w:rPr>
            </w:pPr>
          </w:p>
        </w:tc>
        <w:tc>
          <w:tcPr>
            <w:tcW w:w="2628" w:type="dxa"/>
          </w:tcPr>
          <w:p w14:paraId="419ADC97" w14:textId="77777777" w:rsidR="00A757B4" w:rsidRDefault="00A757B4" w:rsidP="00A757B4">
            <w:pPr>
              <w:spacing w:before="60" w:after="60"/>
              <w:rPr>
                <w:lang w:val="en-US"/>
              </w:rPr>
            </w:pPr>
          </w:p>
        </w:tc>
      </w:tr>
    </w:tbl>
    <w:p w14:paraId="0A9768F1" w14:textId="77777777" w:rsidR="00A757B4" w:rsidRDefault="00A757B4">
      <w:pPr>
        <w:rPr>
          <w:lang w:val="en-US"/>
        </w:rPr>
      </w:pPr>
    </w:p>
    <w:p w14:paraId="48BBAF2E" w14:textId="44F46903" w:rsidR="004D6104" w:rsidRDefault="00237EB5" w:rsidP="00237EB5">
      <w:pPr>
        <w:rPr>
          <w:lang w:val="en-US"/>
        </w:rPr>
      </w:pPr>
      <w:r>
        <w:rPr>
          <w:lang w:val="en-US"/>
        </w:rPr>
        <w:t>**</w:t>
      </w:r>
      <w:r w:rsidR="001C7A0C" w:rsidRPr="00237EB5">
        <w:rPr>
          <w:lang w:val="en-US"/>
        </w:rPr>
        <w:t>Bill 97 was an omnibus Act, which amended seven separate Acts. The revisions to each Act are set out in a separate schedule. It is Schedule 7</w:t>
      </w:r>
      <w:r w:rsidR="0078127E">
        <w:rPr>
          <w:lang w:val="en-US"/>
        </w:rPr>
        <w:t>,</w:t>
      </w:r>
      <w:r w:rsidR="001C7A0C" w:rsidRPr="00237EB5">
        <w:rPr>
          <w:lang w:val="en-US"/>
        </w:rPr>
        <w:t xml:space="preserve"> which amends the Residential Tenancies Act</w:t>
      </w:r>
      <w:r w:rsidRPr="00237EB5">
        <w:rPr>
          <w:lang w:val="en-US"/>
        </w:rPr>
        <w:t xml:space="preserve"> (RTA)</w:t>
      </w:r>
      <w:r w:rsidR="001C7A0C" w:rsidRPr="00237EB5">
        <w:rPr>
          <w:lang w:val="en-US"/>
        </w:rPr>
        <w:t>. In citing the Act, one need not generally refer to Schedule 7.</w:t>
      </w:r>
      <w:r w:rsidRPr="00237EB5">
        <w:rPr>
          <w:lang w:val="en-US"/>
        </w:rPr>
        <w:t xml:space="preserve"> </w:t>
      </w:r>
      <w:r w:rsidR="00000F4A">
        <w:rPr>
          <w:lang w:val="en-US"/>
        </w:rPr>
        <w:t>However, t</w:t>
      </w:r>
      <w:r w:rsidRPr="00237EB5">
        <w:rPr>
          <w:lang w:val="en-US"/>
        </w:rPr>
        <w:t xml:space="preserve">o find something in the Act </w:t>
      </w:r>
      <w:r w:rsidR="00000F4A">
        <w:rPr>
          <w:lang w:val="en-US"/>
        </w:rPr>
        <w:t xml:space="preserve">pertaining to the RTA, </w:t>
      </w:r>
      <w:r w:rsidRPr="00237EB5">
        <w:rPr>
          <w:lang w:val="en-US"/>
        </w:rPr>
        <w:t xml:space="preserve">you need to know to look </w:t>
      </w:r>
      <w:r w:rsidR="0078127E">
        <w:rPr>
          <w:lang w:val="en-US"/>
        </w:rPr>
        <w:t>at</w:t>
      </w:r>
      <w:r w:rsidRPr="00237EB5">
        <w:rPr>
          <w:lang w:val="en-US"/>
        </w:rPr>
        <w:t xml:space="preserve"> Schedule 7. The website “Ontario e-laws” sets out the sections within the RTA (in the order</w:t>
      </w:r>
      <w:r w:rsidR="00000F4A">
        <w:rPr>
          <w:lang w:val="en-US"/>
        </w:rPr>
        <w:t xml:space="preserve"> of the sections in the RTA</w:t>
      </w:r>
      <w:r w:rsidRPr="00237EB5">
        <w:rPr>
          <w:lang w:val="en-US"/>
        </w:rPr>
        <w:t xml:space="preserve">, and with a </w:t>
      </w:r>
      <w:r w:rsidR="00000F4A">
        <w:rPr>
          <w:lang w:val="en-US"/>
        </w:rPr>
        <w:t xml:space="preserve">clear indication </w:t>
      </w:r>
      <w:r w:rsidRPr="00237EB5">
        <w:rPr>
          <w:lang w:val="en-US"/>
        </w:rPr>
        <w:t>if the section or sub-section is not yet in force.</w:t>
      </w:r>
      <w:r w:rsidR="00000F4A">
        <w:rPr>
          <w:lang w:val="en-US"/>
        </w:rPr>
        <w:t>)</w:t>
      </w:r>
    </w:p>
    <w:p w14:paraId="222207DC" w14:textId="77777777" w:rsidR="00E76F42" w:rsidRDefault="00E76F42" w:rsidP="00237EB5">
      <w:pPr>
        <w:rPr>
          <w:lang w:val="en-US"/>
        </w:rPr>
      </w:pPr>
    </w:p>
    <w:p w14:paraId="6748351A" w14:textId="7402DC41" w:rsidR="00E76F42" w:rsidRDefault="00E76F42" w:rsidP="0074501C">
      <w:pPr>
        <w:spacing w:after="80"/>
        <w:rPr>
          <w:b/>
          <w:bCs/>
          <w:lang w:val="en-US"/>
        </w:rPr>
      </w:pPr>
      <w:r w:rsidRPr="00E76F42">
        <w:rPr>
          <w:b/>
          <w:bCs/>
          <w:lang w:val="en-US"/>
        </w:rPr>
        <w:t xml:space="preserve">Chapter </w:t>
      </w:r>
      <w:r w:rsidR="00B124D6">
        <w:rPr>
          <w:b/>
          <w:bCs/>
          <w:lang w:val="en-US"/>
        </w:rPr>
        <w:t>2</w:t>
      </w:r>
      <w:r w:rsidR="00DB5A58">
        <w:rPr>
          <w:b/>
          <w:bCs/>
          <w:lang w:val="en-US"/>
        </w:rPr>
        <w:t xml:space="preserve"> </w:t>
      </w:r>
      <w:r w:rsidR="0078127E">
        <w:rPr>
          <w:b/>
          <w:bCs/>
          <w:lang w:val="en-US"/>
        </w:rPr>
        <w:t>—</w:t>
      </w:r>
      <w:r w:rsidR="00B124D6">
        <w:rPr>
          <w:b/>
          <w:bCs/>
          <w:lang w:val="en-US"/>
        </w:rPr>
        <w:t xml:space="preserve"> Legal Framework</w:t>
      </w:r>
    </w:p>
    <w:p w14:paraId="56625844" w14:textId="50C8B34A" w:rsidR="00E76F42" w:rsidRDefault="00E76F42" w:rsidP="0074501C">
      <w:pPr>
        <w:rPr>
          <w:lang w:val="en-US"/>
        </w:rPr>
      </w:pPr>
      <w:r w:rsidRPr="00B124D6">
        <w:rPr>
          <w:lang w:val="en-US"/>
        </w:rPr>
        <w:t>Since</w:t>
      </w:r>
      <w:r w:rsidR="00B124D6">
        <w:rPr>
          <w:lang w:val="en-US"/>
        </w:rPr>
        <w:t xml:space="preserve"> the </w:t>
      </w:r>
      <w:r w:rsidRPr="00B124D6">
        <w:rPr>
          <w:lang w:val="en-US"/>
        </w:rPr>
        <w:t xml:space="preserve">editing of the text closed in September 2021, there have been no </w:t>
      </w:r>
      <w:r w:rsidR="00B124D6" w:rsidRPr="00B124D6">
        <w:rPr>
          <w:lang w:val="en-US"/>
        </w:rPr>
        <w:t>significant changes affecting this chapter.</w:t>
      </w:r>
    </w:p>
    <w:p w14:paraId="4F19EB3F" w14:textId="77777777" w:rsidR="00B124D6" w:rsidRDefault="00B124D6" w:rsidP="00237EB5">
      <w:pPr>
        <w:rPr>
          <w:lang w:val="en-US"/>
        </w:rPr>
      </w:pPr>
    </w:p>
    <w:p w14:paraId="335F964A" w14:textId="54C86B8B" w:rsidR="00B124D6" w:rsidRDefault="00B124D6" w:rsidP="00A37758">
      <w:pPr>
        <w:keepNext/>
        <w:keepLines/>
        <w:spacing w:after="80"/>
        <w:rPr>
          <w:b/>
          <w:bCs/>
          <w:lang w:val="en-US"/>
        </w:rPr>
      </w:pPr>
      <w:r w:rsidRPr="00E76F42">
        <w:rPr>
          <w:b/>
          <w:bCs/>
          <w:lang w:val="en-US"/>
        </w:rPr>
        <w:t xml:space="preserve">Chapter </w:t>
      </w:r>
      <w:r>
        <w:rPr>
          <w:b/>
          <w:bCs/>
          <w:lang w:val="en-US"/>
        </w:rPr>
        <w:t xml:space="preserve">3 </w:t>
      </w:r>
      <w:r w:rsidR="0078127E">
        <w:rPr>
          <w:b/>
          <w:bCs/>
          <w:lang w:val="en-US"/>
        </w:rPr>
        <w:t>—</w:t>
      </w:r>
      <w:r>
        <w:rPr>
          <w:b/>
          <w:bCs/>
          <w:lang w:val="en-US"/>
        </w:rPr>
        <w:t xml:space="preserve"> Does the RTA </w:t>
      </w:r>
      <w:proofErr w:type="gramStart"/>
      <w:r>
        <w:rPr>
          <w:b/>
          <w:bCs/>
          <w:lang w:val="en-US"/>
        </w:rPr>
        <w:t>apply</w:t>
      </w:r>
      <w:proofErr w:type="gramEnd"/>
    </w:p>
    <w:p w14:paraId="7515541F" w14:textId="77777777" w:rsidR="00B124D6" w:rsidRDefault="00B124D6" w:rsidP="00A37758">
      <w:pPr>
        <w:keepNext/>
        <w:keepLines/>
        <w:spacing w:after="120" w:line="252" w:lineRule="auto"/>
        <w:rPr>
          <w:lang w:val="en-US"/>
        </w:rPr>
      </w:pPr>
      <w:r w:rsidRPr="00B124D6">
        <w:rPr>
          <w:lang w:val="en-US"/>
        </w:rPr>
        <w:t>Since</w:t>
      </w:r>
      <w:r>
        <w:rPr>
          <w:lang w:val="en-US"/>
        </w:rPr>
        <w:t xml:space="preserve"> the </w:t>
      </w:r>
      <w:r w:rsidRPr="00B124D6">
        <w:rPr>
          <w:lang w:val="en-US"/>
        </w:rPr>
        <w:t>editing of the text closed in September 2021, there have been no significant changes affecting this chapter.</w:t>
      </w:r>
    </w:p>
    <w:p w14:paraId="46AC69ED" w14:textId="68DCB960" w:rsidR="00DB5A58" w:rsidRPr="00B124D6" w:rsidRDefault="00DB5A58" w:rsidP="00DD4014">
      <w:pPr>
        <w:spacing w:after="120" w:line="252" w:lineRule="auto"/>
        <w:rPr>
          <w:lang w:val="en-US"/>
        </w:rPr>
      </w:pPr>
      <w:r>
        <w:rPr>
          <w:lang w:val="en-US"/>
        </w:rPr>
        <w:t>However, note</w:t>
      </w:r>
      <w:r w:rsidR="0078127E">
        <w:rPr>
          <w:lang w:val="en-US"/>
        </w:rPr>
        <w:t xml:space="preserve"> that</w:t>
      </w:r>
      <w:r>
        <w:rPr>
          <w:lang w:val="en-US"/>
        </w:rPr>
        <w:t xml:space="preserve"> on </w:t>
      </w:r>
      <w:r w:rsidR="003859EB">
        <w:rPr>
          <w:lang w:val="en-US"/>
        </w:rPr>
        <w:t xml:space="preserve">page </w:t>
      </w:r>
      <w:r>
        <w:rPr>
          <w:lang w:val="en-US"/>
        </w:rPr>
        <w:t>28 there is a box on the “Special Rule for 2021</w:t>
      </w:r>
      <w:r w:rsidR="0078127E">
        <w:rPr>
          <w:lang w:val="en-US"/>
        </w:rPr>
        <w:t>.</w:t>
      </w:r>
      <w:r>
        <w:rPr>
          <w:lang w:val="en-US"/>
        </w:rPr>
        <w:t xml:space="preserve">” The text refers to the guideline rent increase, which is discussed at </w:t>
      </w:r>
      <w:r w:rsidR="003859EB">
        <w:rPr>
          <w:lang w:val="en-US"/>
        </w:rPr>
        <w:t xml:space="preserve">pages </w:t>
      </w:r>
      <w:r>
        <w:rPr>
          <w:lang w:val="en-US"/>
        </w:rPr>
        <w:t>216</w:t>
      </w:r>
      <w:r w:rsidR="003859EB">
        <w:rPr>
          <w:lang w:val="en-US"/>
        </w:rPr>
        <w:t xml:space="preserve"> to </w:t>
      </w:r>
      <w:r>
        <w:rPr>
          <w:lang w:val="en-US"/>
        </w:rPr>
        <w:t>217.</w:t>
      </w:r>
    </w:p>
    <w:p w14:paraId="53A31B6A" w14:textId="77777777" w:rsidR="00B124D6" w:rsidRDefault="00B124D6" w:rsidP="00237EB5">
      <w:pPr>
        <w:rPr>
          <w:lang w:val="en-US"/>
        </w:rPr>
      </w:pPr>
    </w:p>
    <w:p w14:paraId="57BEDAB0" w14:textId="523D3CA8" w:rsidR="00B124D6" w:rsidRDefault="00B124D6" w:rsidP="006A4A3D">
      <w:pPr>
        <w:spacing w:after="80"/>
        <w:rPr>
          <w:b/>
          <w:bCs/>
          <w:lang w:val="en-US"/>
        </w:rPr>
      </w:pPr>
      <w:bookmarkStart w:id="0" w:name="_Hlk142318898"/>
      <w:r w:rsidRPr="00E76F42">
        <w:rPr>
          <w:b/>
          <w:bCs/>
          <w:lang w:val="en-US"/>
        </w:rPr>
        <w:t xml:space="preserve">Chapter </w:t>
      </w:r>
      <w:r w:rsidR="006A4A3D">
        <w:rPr>
          <w:b/>
          <w:bCs/>
          <w:lang w:val="en-US"/>
        </w:rPr>
        <w:t xml:space="preserve">4 </w:t>
      </w:r>
      <w:r w:rsidR="0078127E">
        <w:rPr>
          <w:b/>
          <w:bCs/>
          <w:lang w:val="en-US"/>
        </w:rPr>
        <w:t>—</w:t>
      </w:r>
      <w:r w:rsidR="006A4A3D">
        <w:rPr>
          <w:b/>
          <w:bCs/>
          <w:lang w:val="en-US"/>
        </w:rPr>
        <w:t xml:space="preserve"> The Tenancy Agreement</w:t>
      </w:r>
    </w:p>
    <w:p w14:paraId="2E3B174F" w14:textId="124CDBDD" w:rsidR="002458B7" w:rsidRDefault="0078127E" w:rsidP="006A4A3D">
      <w:pPr>
        <w:spacing w:after="80"/>
        <w:rPr>
          <w:lang w:val="en-US"/>
        </w:rPr>
      </w:pPr>
      <w:r>
        <w:rPr>
          <w:lang w:val="en-US"/>
        </w:rPr>
        <w:t>On</w:t>
      </w:r>
      <w:r w:rsidR="004F18A4">
        <w:rPr>
          <w:lang w:val="en-US"/>
        </w:rPr>
        <w:t xml:space="preserve"> page 37, in a new section under</w:t>
      </w:r>
      <w:r w:rsidR="002458B7">
        <w:rPr>
          <w:lang w:val="en-US"/>
        </w:rPr>
        <w:t xml:space="preserve"> the section entitled “Responsibility for Services</w:t>
      </w:r>
      <w:r>
        <w:rPr>
          <w:lang w:val="en-US"/>
        </w:rPr>
        <w:t>,</w:t>
      </w:r>
      <w:r w:rsidR="002458B7">
        <w:rPr>
          <w:lang w:val="en-US"/>
        </w:rPr>
        <w:t>” readers should insert the following:</w:t>
      </w:r>
    </w:p>
    <w:p w14:paraId="30495972" w14:textId="77DD8949" w:rsidR="002458B7" w:rsidRPr="002458B7" w:rsidRDefault="002458B7" w:rsidP="006A4A3D">
      <w:pPr>
        <w:spacing w:after="80"/>
        <w:rPr>
          <w:b/>
          <w:bCs/>
          <w:lang w:val="en-US"/>
        </w:rPr>
      </w:pPr>
      <w:r w:rsidRPr="002458B7">
        <w:rPr>
          <w:b/>
          <w:bCs/>
          <w:lang w:val="en-US"/>
        </w:rPr>
        <w:t>Rules about installing air conditioners</w:t>
      </w:r>
    </w:p>
    <w:p w14:paraId="5FF6E91C" w14:textId="47C92E30" w:rsidR="00EE3385" w:rsidRDefault="00EE3385" w:rsidP="00A37758">
      <w:pPr>
        <w:spacing w:after="120" w:line="252" w:lineRule="auto"/>
        <w:rPr>
          <w:lang w:val="en-US"/>
        </w:rPr>
      </w:pPr>
      <w:r w:rsidRPr="00F90200">
        <w:rPr>
          <w:lang w:val="en-US"/>
        </w:rPr>
        <w:t>There are several stages to bringing new statutory rule</w:t>
      </w:r>
      <w:r w:rsidR="0078127E">
        <w:rPr>
          <w:lang w:val="en-US"/>
        </w:rPr>
        <w:t>s</w:t>
      </w:r>
      <w:r w:rsidRPr="00F90200">
        <w:rPr>
          <w:lang w:val="en-US"/>
        </w:rPr>
        <w:t xml:space="preserve"> into force. First, the </w:t>
      </w:r>
      <w:r w:rsidR="00F90200">
        <w:rPr>
          <w:lang w:val="en-US"/>
        </w:rPr>
        <w:t xml:space="preserve">Provincial </w:t>
      </w:r>
      <w:r w:rsidRPr="00F90200">
        <w:rPr>
          <w:lang w:val="en-US"/>
        </w:rPr>
        <w:t xml:space="preserve">Legislature must enact it. Then there will be </w:t>
      </w:r>
      <w:r w:rsidR="00F90200">
        <w:rPr>
          <w:lang w:val="en-US"/>
        </w:rPr>
        <w:t>“</w:t>
      </w:r>
      <w:r w:rsidRPr="00F90200">
        <w:rPr>
          <w:lang w:val="en-US"/>
        </w:rPr>
        <w:t>Royal Assent</w:t>
      </w:r>
      <w:r w:rsidR="0078127E">
        <w:rPr>
          <w:lang w:val="en-US"/>
        </w:rPr>
        <w:t>,</w:t>
      </w:r>
      <w:r w:rsidR="00F90200">
        <w:rPr>
          <w:lang w:val="en-US"/>
        </w:rPr>
        <w:t>”</w:t>
      </w:r>
      <w:r w:rsidRPr="00F90200">
        <w:rPr>
          <w:lang w:val="en-US"/>
        </w:rPr>
        <w:t xml:space="preserve"> by the </w:t>
      </w:r>
      <w:bookmarkStart w:id="1" w:name="_Hlk142319806"/>
      <w:r w:rsidRPr="00F90200">
        <w:rPr>
          <w:lang w:val="en-US"/>
        </w:rPr>
        <w:t>Lieutenant-Governor</w:t>
      </w:r>
      <w:bookmarkEnd w:id="1"/>
      <w:r w:rsidR="00F90200">
        <w:rPr>
          <w:lang w:val="en-US"/>
        </w:rPr>
        <w:t xml:space="preserve"> on behalf of the King</w:t>
      </w:r>
      <w:r w:rsidRPr="00F90200">
        <w:rPr>
          <w:lang w:val="en-US"/>
        </w:rPr>
        <w:t xml:space="preserve">. Some </w:t>
      </w:r>
      <w:r w:rsidR="002458B7">
        <w:rPr>
          <w:lang w:val="en-US"/>
        </w:rPr>
        <w:t xml:space="preserve">Acts or </w:t>
      </w:r>
      <w:r w:rsidRPr="00F90200">
        <w:rPr>
          <w:lang w:val="en-US"/>
        </w:rPr>
        <w:t xml:space="preserve">sections </w:t>
      </w:r>
      <w:r w:rsidR="002458B7">
        <w:rPr>
          <w:lang w:val="en-US"/>
        </w:rPr>
        <w:t xml:space="preserve">of Acts </w:t>
      </w:r>
      <w:r w:rsidRPr="00F90200">
        <w:rPr>
          <w:lang w:val="en-US"/>
        </w:rPr>
        <w:t xml:space="preserve">come into force on Royal Assent. However, other sections are designated to come into force on a date to be proclaimed by the </w:t>
      </w:r>
      <w:r w:rsidR="00F90200" w:rsidRPr="00F90200">
        <w:rPr>
          <w:lang w:val="en-US"/>
        </w:rPr>
        <w:t xml:space="preserve">Lieutenant-Governor. Those sections can be sections </w:t>
      </w:r>
      <w:r w:rsidR="0078127E">
        <w:rPr>
          <w:lang w:val="en-US"/>
        </w:rPr>
        <w:t>that</w:t>
      </w:r>
      <w:r w:rsidR="002458B7">
        <w:rPr>
          <w:lang w:val="en-US"/>
        </w:rPr>
        <w:t xml:space="preserve"> </w:t>
      </w:r>
      <w:r w:rsidR="00F90200" w:rsidRPr="00F90200">
        <w:rPr>
          <w:lang w:val="en-US"/>
        </w:rPr>
        <w:t>the government (</w:t>
      </w:r>
      <w:proofErr w:type="gramStart"/>
      <w:r w:rsidR="00F90200" w:rsidRPr="00F90200">
        <w:rPr>
          <w:lang w:val="en-US"/>
        </w:rPr>
        <w:t>i.e.</w:t>
      </w:r>
      <w:proofErr w:type="gramEnd"/>
      <w:r w:rsidR="00F90200" w:rsidRPr="00F90200">
        <w:rPr>
          <w:lang w:val="en-US"/>
        </w:rPr>
        <w:t xml:space="preserve"> the </w:t>
      </w:r>
      <w:r w:rsidR="005972DC">
        <w:rPr>
          <w:lang w:val="en-US"/>
        </w:rPr>
        <w:t xml:space="preserve">provincial </w:t>
      </w:r>
      <w:r w:rsidR="00F90200" w:rsidRPr="00F90200">
        <w:rPr>
          <w:lang w:val="en-US"/>
        </w:rPr>
        <w:t>cabinet) wants to delay for one reason or another. Or those section</w:t>
      </w:r>
      <w:r w:rsidR="0078127E">
        <w:rPr>
          <w:lang w:val="en-US"/>
        </w:rPr>
        <w:t>s</w:t>
      </w:r>
      <w:r w:rsidR="00F90200" w:rsidRPr="00F90200">
        <w:rPr>
          <w:lang w:val="en-US"/>
        </w:rPr>
        <w:t xml:space="preserve"> can be </w:t>
      </w:r>
      <w:proofErr w:type="gramStart"/>
      <w:r w:rsidR="00F90200" w:rsidRPr="00F90200">
        <w:rPr>
          <w:lang w:val="en-US"/>
        </w:rPr>
        <w:t>rule</w:t>
      </w:r>
      <w:proofErr w:type="gramEnd"/>
      <w:r w:rsidR="00F90200" w:rsidRPr="00F90200">
        <w:rPr>
          <w:lang w:val="en-US"/>
        </w:rPr>
        <w:t xml:space="preserve"> changes that require other steps beside</w:t>
      </w:r>
      <w:r w:rsidR="0078127E">
        <w:rPr>
          <w:lang w:val="en-US"/>
        </w:rPr>
        <w:t>s</w:t>
      </w:r>
      <w:r w:rsidR="00F90200" w:rsidRPr="00F90200">
        <w:rPr>
          <w:lang w:val="en-US"/>
        </w:rPr>
        <w:t xml:space="preserve"> enactment, such as </w:t>
      </w:r>
      <w:r w:rsidR="002458B7">
        <w:rPr>
          <w:lang w:val="en-US"/>
        </w:rPr>
        <w:t xml:space="preserve">new </w:t>
      </w:r>
      <w:r w:rsidR="00F90200" w:rsidRPr="00F90200">
        <w:rPr>
          <w:lang w:val="en-US"/>
        </w:rPr>
        <w:t xml:space="preserve">regulations or </w:t>
      </w:r>
      <w:r w:rsidR="002458B7">
        <w:rPr>
          <w:lang w:val="en-US"/>
        </w:rPr>
        <w:t xml:space="preserve">new </w:t>
      </w:r>
      <w:r w:rsidR="00F90200" w:rsidRPr="00F90200">
        <w:rPr>
          <w:lang w:val="en-US"/>
        </w:rPr>
        <w:t>forms.</w:t>
      </w:r>
    </w:p>
    <w:p w14:paraId="6E2A1B4F" w14:textId="735CCF6A" w:rsidR="00F90200" w:rsidRDefault="002458B7" w:rsidP="00A37758">
      <w:pPr>
        <w:spacing w:after="120" w:line="252" w:lineRule="auto"/>
        <w:rPr>
          <w:lang w:val="en-US"/>
        </w:rPr>
      </w:pPr>
      <w:r>
        <w:rPr>
          <w:lang w:val="en-US"/>
        </w:rPr>
        <w:t xml:space="preserve">As a new set of rules, </w:t>
      </w:r>
      <w:r w:rsidR="00315F20">
        <w:rPr>
          <w:lang w:val="en-US"/>
        </w:rPr>
        <w:t>Bill 97 includes RTA section 36.1</w:t>
      </w:r>
      <w:r w:rsidR="005972DC">
        <w:rPr>
          <w:lang w:val="en-US"/>
        </w:rPr>
        <w:t>. That section addresses tenants</w:t>
      </w:r>
      <w:r w:rsidR="00A37758">
        <w:rPr>
          <w:lang w:val="en-US"/>
        </w:rPr>
        <w:t>’</w:t>
      </w:r>
      <w:r w:rsidR="005972DC">
        <w:rPr>
          <w:lang w:val="en-US"/>
        </w:rPr>
        <w:t xml:space="preserve"> rights to install air-conditioners provided they follow certain steps. That section is to come into force on a date to be proclaimed.</w:t>
      </w:r>
    </w:p>
    <w:p w14:paraId="7D9DBE97" w14:textId="1ADD043C" w:rsidR="005972DC" w:rsidRDefault="005972DC" w:rsidP="00A37758">
      <w:pPr>
        <w:spacing w:after="120" w:line="252" w:lineRule="auto"/>
        <w:rPr>
          <w:lang w:val="en-US"/>
        </w:rPr>
      </w:pPr>
      <w:r>
        <w:rPr>
          <w:lang w:val="en-US"/>
        </w:rPr>
        <w:t>There will be various new rules</w:t>
      </w:r>
      <w:r w:rsidR="00776426">
        <w:rPr>
          <w:lang w:val="en-US"/>
        </w:rPr>
        <w:t xml:space="preserve"> about installing air conditioners and about an additional charge to be payable for the cost of the electricity to operate the air conditioners</w:t>
      </w:r>
      <w:r>
        <w:rPr>
          <w:lang w:val="en-US"/>
        </w:rPr>
        <w:t xml:space="preserve">, some of which depend on the regulations which are to be enacted by the </w:t>
      </w:r>
      <w:r w:rsidRPr="00F90200">
        <w:rPr>
          <w:lang w:val="en-US"/>
        </w:rPr>
        <w:t>Lieutenant-Governor</w:t>
      </w:r>
      <w:r>
        <w:rPr>
          <w:lang w:val="en-US"/>
        </w:rPr>
        <w:t>-in-Council (i.e., the provincial cabinet)</w:t>
      </w:r>
      <w:r w:rsidR="00776426">
        <w:rPr>
          <w:lang w:val="en-US"/>
        </w:rPr>
        <w:t>.</w:t>
      </w:r>
    </w:p>
    <w:p w14:paraId="50BC2601" w14:textId="5459B7B4" w:rsidR="00776426" w:rsidRDefault="00776426" w:rsidP="006A4A3D">
      <w:pPr>
        <w:spacing w:after="80"/>
        <w:rPr>
          <w:lang w:val="en-US"/>
        </w:rPr>
      </w:pPr>
      <w:r>
        <w:rPr>
          <w:lang w:val="en-US"/>
        </w:rPr>
        <w:t>The authors will provide an update when those rules are brought into force.</w:t>
      </w:r>
    </w:p>
    <w:bookmarkEnd w:id="0"/>
    <w:p w14:paraId="22422441" w14:textId="77777777" w:rsidR="00666C54" w:rsidRDefault="00666C54" w:rsidP="00666C54">
      <w:pPr>
        <w:rPr>
          <w:lang w:val="en-US"/>
        </w:rPr>
      </w:pPr>
    </w:p>
    <w:p w14:paraId="5E758563" w14:textId="6D5296B7" w:rsidR="00666C54" w:rsidRDefault="00666C54" w:rsidP="006A4A3D">
      <w:pPr>
        <w:spacing w:after="80"/>
        <w:rPr>
          <w:b/>
          <w:bCs/>
          <w:lang w:val="en-US"/>
        </w:rPr>
      </w:pPr>
      <w:r w:rsidRPr="00E76F42">
        <w:rPr>
          <w:b/>
          <w:bCs/>
          <w:lang w:val="en-US"/>
        </w:rPr>
        <w:t xml:space="preserve">Chapter </w:t>
      </w:r>
      <w:r w:rsidR="00633B6A">
        <w:rPr>
          <w:b/>
          <w:bCs/>
          <w:lang w:val="en-US"/>
        </w:rPr>
        <w:t xml:space="preserve">5 </w:t>
      </w:r>
      <w:r w:rsidR="0078127E">
        <w:rPr>
          <w:b/>
          <w:bCs/>
          <w:lang w:val="en-US"/>
        </w:rPr>
        <w:t>—</w:t>
      </w:r>
      <w:r w:rsidR="00633B6A">
        <w:rPr>
          <w:b/>
          <w:bCs/>
          <w:lang w:val="en-US"/>
        </w:rPr>
        <w:t xml:space="preserve"> The landlord’s obligation to </w:t>
      </w:r>
      <w:proofErr w:type="gramStart"/>
      <w:r w:rsidR="00633B6A">
        <w:rPr>
          <w:b/>
          <w:bCs/>
          <w:lang w:val="en-US"/>
        </w:rPr>
        <w:t>repair</w:t>
      </w:r>
      <w:proofErr w:type="gramEnd"/>
    </w:p>
    <w:p w14:paraId="5D8B1482" w14:textId="77777777" w:rsidR="00666C54" w:rsidRDefault="00666C54" w:rsidP="00666C54">
      <w:pPr>
        <w:rPr>
          <w:lang w:val="en-US"/>
        </w:rPr>
      </w:pPr>
      <w:r w:rsidRPr="00B124D6">
        <w:rPr>
          <w:lang w:val="en-US"/>
        </w:rPr>
        <w:t>Since</w:t>
      </w:r>
      <w:r>
        <w:rPr>
          <w:lang w:val="en-US"/>
        </w:rPr>
        <w:t xml:space="preserve"> the </w:t>
      </w:r>
      <w:r w:rsidRPr="00B124D6">
        <w:rPr>
          <w:lang w:val="en-US"/>
        </w:rPr>
        <w:t>editing of the text closed in September 2021, there have been no significant changes affecting this chapter.</w:t>
      </w:r>
    </w:p>
    <w:p w14:paraId="3B9EAE7F" w14:textId="77777777" w:rsidR="00666C54" w:rsidRDefault="00666C54" w:rsidP="00666C54">
      <w:pPr>
        <w:rPr>
          <w:lang w:val="en-US"/>
        </w:rPr>
      </w:pPr>
    </w:p>
    <w:p w14:paraId="51990DDC" w14:textId="2F3AE6EE" w:rsidR="00666C54" w:rsidRDefault="00666C54" w:rsidP="001458F3">
      <w:pPr>
        <w:spacing w:after="80"/>
        <w:rPr>
          <w:b/>
          <w:bCs/>
          <w:lang w:val="en-US"/>
        </w:rPr>
      </w:pPr>
      <w:r w:rsidRPr="00E76F42">
        <w:rPr>
          <w:b/>
          <w:bCs/>
          <w:lang w:val="en-US"/>
        </w:rPr>
        <w:t xml:space="preserve">Chapter </w:t>
      </w:r>
      <w:r w:rsidR="00633B6A">
        <w:rPr>
          <w:b/>
          <w:bCs/>
          <w:lang w:val="en-US"/>
        </w:rPr>
        <w:t xml:space="preserve">6 </w:t>
      </w:r>
      <w:r w:rsidR="0078127E">
        <w:rPr>
          <w:b/>
          <w:bCs/>
          <w:lang w:val="en-US"/>
        </w:rPr>
        <w:t>—</w:t>
      </w:r>
      <w:r w:rsidR="00633B6A">
        <w:rPr>
          <w:b/>
          <w:bCs/>
          <w:lang w:val="en-US"/>
        </w:rPr>
        <w:t xml:space="preserve"> Other rights and obligations</w:t>
      </w:r>
    </w:p>
    <w:p w14:paraId="575D29F6" w14:textId="42CE40BC" w:rsidR="00092E01" w:rsidRDefault="00092E01" w:rsidP="001458F3">
      <w:pPr>
        <w:rPr>
          <w:lang w:val="en-US"/>
        </w:rPr>
      </w:pPr>
      <w:r>
        <w:rPr>
          <w:lang w:val="en-US"/>
        </w:rPr>
        <w:t xml:space="preserve">In the second to last paragraph on page 64, there is </w:t>
      </w:r>
      <w:r w:rsidR="00072AD4">
        <w:rPr>
          <w:lang w:val="en-US"/>
        </w:rPr>
        <w:t xml:space="preserve">a </w:t>
      </w:r>
      <w:r w:rsidR="00A75F24">
        <w:rPr>
          <w:lang w:val="en-US"/>
        </w:rPr>
        <w:t>reference to maximum fines for violations of the RTA of $50,000 for an individual and $250,000 for a corporation. Although increases in the maximum fines to $100,000 a</w:t>
      </w:r>
      <w:r w:rsidR="001F7E3C">
        <w:rPr>
          <w:lang w:val="en-US"/>
        </w:rPr>
        <w:t>n</w:t>
      </w:r>
      <w:r w:rsidR="00A75F24">
        <w:rPr>
          <w:lang w:val="en-US"/>
        </w:rPr>
        <w:t>d $500,000</w:t>
      </w:r>
      <w:r w:rsidR="00072AD4">
        <w:rPr>
          <w:lang w:val="en-US"/>
        </w:rPr>
        <w:t>,</w:t>
      </w:r>
      <w:r w:rsidR="00A75F24">
        <w:rPr>
          <w:lang w:val="en-US"/>
        </w:rPr>
        <w:t xml:space="preserve"> respectively</w:t>
      </w:r>
      <w:r w:rsidR="00072AD4">
        <w:rPr>
          <w:lang w:val="en-US"/>
        </w:rPr>
        <w:t>,</w:t>
      </w:r>
      <w:r w:rsidR="00A75F24">
        <w:rPr>
          <w:lang w:val="en-US"/>
        </w:rPr>
        <w:t xml:space="preserve"> have been enacted by Bill 97, those changes have not been </w:t>
      </w:r>
      <w:r w:rsidR="00000F4A">
        <w:rPr>
          <w:lang w:val="en-US"/>
        </w:rPr>
        <w:t>brought into force</w:t>
      </w:r>
      <w:r w:rsidR="00A75F24">
        <w:rPr>
          <w:lang w:val="en-US"/>
        </w:rPr>
        <w:t>.</w:t>
      </w:r>
    </w:p>
    <w:p w14:paraId="5C850540" w14:textId="0C826813" w:rsidR="00A75F24" w:rsidRDefault="001F7E3C" w:rsidP="00666C54">
      <w:pPr>
        <w:rPr>
          <w:lang w:val="en-US"/>
        </w:rPr>
      </w:pPr>
      <w:r>
        <w:rPr>
          <w:lang w:val="en-US"/>
        </w:rPr>
        <w:t xml:space="preserve">As noted </w:t>
      </w:r>
      <w:r w:rsidR="00072AD4">
        <w:rPr>
          <w:lang w:val="en-US"/>
        </w:rPr>
        <w:t>on</w:t>
      </w:r>
      <w:r>
        <w:rPr>
          <w:lang w:val="en-US"/>
        </w:rPr>
        <w:t xml:space="preserve"> page 252</w:t>
      </w:r>
      <w:r w:rsidR="00A75F24">
        <w:rPr>
          <w:lang w:val="en-US"/>
        </w:rPr>
        <w:t>,</w:t>
      </w:r>
      <w:r>
        <w:rPr>
          <w:lang w:val="en-US"/>
        </w:rPr>
        <w:t xml:space="preserve"> under standard sentencing principles, </w:t>
      </w:r>
      <w:r w:rsidR="00A75F24">
        <w:rPr>
          <w:lang w:val="en-US"/>
        </w:rPr>
        <w:t>the maximum</w:t>
      </w:r>
      <w:r>
        <w:rPr>
          <w:lang w:val="en-US"/>
        </w:rPr>
        <w:t xml:space="preserve"> fine will only be imposed on the worst offender for the worst offence.</w:t>
      </w:r>
      <w:r w:rsidR="0074501C">
        <w:rPr>
          <w:lang w:val="en-US"/>
        </w:rPr>
        <w:t xml:space="preserve"> It is highly unusual for significant fines to be imposed under the RTA unless there are aggravating circumstances and/or repeat offences.</w:t>
      </w:r>
    </w:p>
    <w:p w14:paraId="522D9965" w14:textId="77777777" w:rsidR="00633B6A" w:rsidRDefault="00633B6A" w:rsidP="00633B6A">
      <w:pPr>
        <w:rPr>
          <w:lang w:val="en-US"/>
        </w:rPr>
      </w:pPr>
    </w:p>
    <w:p w14:paraId="3A628757" w14:textId="5E09686F" w:rsidR="00633B6A" w:rsidRDefault="00633B6A" w:rsidP="00633B6A">
      <w:pPr>
        <w:spacing w:after="80"/>
        <w:rPr>
          <w:b/>
          <w:bCs/>
          <w:lang w:val="en-US"/>
        </w:rPr>
      </w:pPr>
      <w:r w:rsidRPr="00E76F42">
        <w:rPr>
          <w:b/>
          <w:bCs/>
          <w:lang w:val="en-US"/>
        </w:rPr>
        <w:t xml:space="preserve">Chapter </w:t>
      </w:r>
      <w:r w:rsidR="00846015">
        <w:rPr>
          <w:b/>
          <w:bCs/>
          <w:lang w:val="en-US"/>
        </w:rPr>
        <w:t xml:space="preserve">7 </w:t>
      </w:r>
      <w:r w:rsidR="00072AD4">
        <w:rPr>
          <w:b/>
          <w:bCs/>
          <w:lang w:val="en-US"/>
        </w:rPr>
        <w:t>—</w:t>
      </w:r>
      <w:r w:rsidR="00846015">
        <w:rPr>
          <w:b/>
          <w:bCs/>
          <w:lang w:val="en-US"/>
        </w:rPr>
        <w:t xml:space="preserve"> Procedures Under the RTA</w:t>
      </w:r>
    </w:p>
    <w:p w14:paraId="5089823B" w14:textId="1F5DA625" w:rsidR="00A8591E" w:rsidRDefault="00A8591E" w:rsidP="00044647">
      <w:pPr>
        <w:spacing w:after="120"/>
        <w:rPr>
          <w:lang w:val="en-US"/>
        </w:rPr>
      </w:pPr>
      <w:r w:rsidRPr="0063515B">
        <w:rPr>
          <w:lang w:val="en-US"/>
        </w:rPr>
        <w:t xml:space="preserve">On </w:t>
      </w:r>
      <w:r w:rsidR="003859EB">
        <w:rPr>
          <w:lang w:val="en-US"/>
        </w:rPr>
        <w:t xml:space="preserve">page </w:t>
      </w:r>
      <w:r w:rsidRPr="0063515B">
        <w:rPr>
          <w:lang w:val="en-US"/>
        </w:rPr>
        <w:t xml:space="preserve">69, paragraph 3 ends with this </w:t>
      </w:r>
      <w:r w:rsidR="008273D1" w:rsidRPr="0063515B">
        <w:rPr>
          <w:lang w:val="en-US"/>
        </w:rPr>
        <w:t xml:space="preserve">phrase, “… applying to the </w:t>
      </w:r>
      <w:r w:rsidR="00956381" w:rsidRPr="0063515B">
        <w:rPr>
          <w:lang w:val="en-US"/>
        </w:rPr>
        <w:t>Board for direction about service is rare.”</w:t>
      </w:r>
      <w:r w:rsidRPr="0063515B">
        <w:rPr>
          <w:lang w:val="en-US"/>
        </w:rPr>
        <w:t xml:space="preserve"> Users of the text should note that that comment does not apply to </w:t>
      </w:r>
      <w:r w:rsidR="00072AD4">
        <w:rPr>
          <w:lang w:val="en-US"/>
        </w:rPr>
        <w:t xml:space="preserve">the </w:t>
      </w:r>
      <w:r w:rsidRPr="0063515B">
        <w:rPr>
          <w:lang w:val="en-US"/>
        </w:rPr>
        <w:t xml:space="preserve">service </w:t>
      </w:r>
      <w:r w:rsidR="00F80522" w:rsidRPr="0063515B">
        <w:rPr>
          <w:lang w:val="en-US"/>
        </w:rPr>
        <w:t>of a</w:t>
      </w:r>
      <w:r w:rsidR="00956381" w:rsidRPr="0063515B">
        <w:rPr>
          <w:lang w:val="en-US"/>
        </w:rPr>
        <w:t>n</w:t>
      </w:r>
      <w:r w:rsidR="00F80522" w:rsidRPr="0063515B">
        <w:rPr>
          <w:lang w:val="en-US"/>
        </w:rPr>
        <w:t xml:space="preserve"> application (and the notice of hearing) </w:t>
      </w:r>
      <w:r w:rsidRPr="0063515B">
        <w:rPr>
          <w:lang w:val="en-US"/>
        </w:rPr>
        <w:t>on former tenants.</w:t>
      </w:r>
      <w:r w:rsidR="00F80522" w:rsidRPr="0063515B">
        <w:rPr>
          <w:lang w:val="en-US"/>
        </w:rPr>
        <w:t xml:space="preserve"> In that situation, the Board is quite concerned that the documents actually reach the former tenant. Therefore, landlords need to follow best practices in keeping e-mail addresses and updating addresses for service. Under the Rules, a request for an order for substituted service must be made at least 45 days before the hearing</w:t>
      </w:r>
      <w:r w:rsidR="00035B66" w:rsidRPr="0063515B">
        <w:rPr>
          <w:lang w:val="en-US"/>
        </w:rPr>
        <w:t xml:space="preserve">, and it should be made as soon as possible. The Board wants information to show that the </w:t>
      </w:r>
      <w:r w:rsidR="00956381" w:rsidRPr="0063515B">
        <w:rPr>
          <w:lang w:val="en-US"/>
        </w:rPr>
        <w:t xml:space="preserve">former </w:t>
      </w:r>
      <w:r w:rsidR="00035B66" w:rsidRPr="0063515B">
        <w:rPr>
          <w:lang w:val="en-US"/>
        </w:rPr>
        <w:t>tenant will receive the documents by the proposed method of service.</w:t>
      </w:r>
      <w:r w:rsidR="00956381" w:rsidRPr="0063515B">
        <w:rPr>
          <w:lang w:val="en-US"/>
        </w:rPr>
        <w:t xml:space="preserve"> Evidence that the former tenant is evading service may be helpful as well.</w:t>
      </w:r>
    </w:p>
    <w:p w14:paraId="15E45A4E" w14:textId="20C93449" w:rsidR="0063515B" w:rsidRDefault="0063515B" w:rsidP="00044647">
      <w:pPr>
        <w:spacing w:after="120"/>
        <w:rPr>
          <w:lang w:val="en-US"/>
        </w:rPr>
      </w:pPr>
      <w:r>
        <w:rPr>
          <w:lang w:val="en-US"/>
        </w:rPr>
        <w:t>Page 73 is largely obsolete. What follows is the updated information about filing applications.</w:t>
      </w:r>
    </w:p>
    <w:p w14:paraId="0EDF7F32" w14:textId="572719C1" w:rsidR="0063515B" w:rsidRDefault="0063515B" w:rsidP="00044647">
      <w:pPr>
        <w:spacing w:after="120"/>
        <w:rPr>
          <w:lang w:val="en-US"/>
        </w:rPr>
      </w:pPr>
      <w:r>
        <w:rPr>
          <w:lang w:val="en-US"/>
        </w:rPr>
        <w:t>The Board has recently shifted to a digital</w:t>
      </w:r>
      <w:r w:rsidR="00072AD4">
        <w:rPr>
          <w:lang w:val="en-US"/>
        </w:rPr>
        <w:t>-</w:t>
      </w:r>
      <w:r>
        <w:rPr>
          <w:lang w:val="en-US"/>
        </w:rPr>
        <w:t>first approach to the filing of applications.</w:t>
      </w:r>
      <w:r w:rsidR="00CF7078">
        <w:rPr>
          <w:lang w:val="en-US"/>
        </w:rPr>
        <w:t xml:space="preserve"> The Board strongly encourages parties to file most applications through the Tribunals Ontario Portal or</w:t>
      </w:r>
      <w:r w:rsidR="00072AD4">
        <w:rPr>
          <w:lang w:val="en-US"/>
        </w:rPr>
        <w:t>,</w:t>
      </w:r>
      <w:r w:rsidR="00CF7078">
        <w:rPr>
          <w:lang w:val="en-US"/>
        </w:rPr>
        <w:t xml:space="preserve"> as a </w:t>
      </w:r>
      <w:proofErr w:type="gramStart"/>
      <w:r w:rsidR="00CF7078">
        <w:rPr>
          <w:lang w:val="en-US"/>
        </w:rPr>
        <w:t>second best</w:t>
      </w:r>
      <w:proofErr w:type="gramEnd"/>
      <w:r w:rsidR="00CF7078">
        <w:rPr>
          <w:lang w:val="en-US"/>
        </w:rPr>
        <w:t xml:space="preserve"> choice, by e-mail. Filing by mail or courier to any Board office can be done, but that is discouraged. The Board’s website says that parties can file application</w:t>
      </w:r>
      <w:r w:rsidR="00072AD4">
        <w:rPr>
          <w:lang w:val="en-US"/>
        </w:rPr>
        <w:t>s</w:t>
      </w:r>
      <w:r w:rsidR="00CF7078">
        <w:rPr>
          <w:lang w:val="en-US"/>
        </w:rPr>
        <w:t xml:space="preserve"> in person at some Service Ontario offices. </w:t>
      </w:r>
    </w:p>
    <w:p w14:paraId="1BF4145D" w14:textId="7BBAB39B" w:rsidR="001D1DC7" w:rsidRDefault="001D1DC7" w:rsidP="00044647">
      <w:pPr>
        <w:spacing w:after="120"/>
        <w:rPr>
          <w:lang w:val="en-US"/>
        </w:rPr>
      </w:pPr>
      <w:r>
        <w:rPr>
          <w:lang w:val="en-US"/>
        </w:rPr>
        <w:t xml:space="preserve">The main exception </w:t>
      </w:r>
      <w:r w:rsidR="00FB5DE3">
        <w:rPr>
          <w:lang w:val="en-US"/>
        </w:rPr>
        <w:t xml:space="preserve">to e-filing </w:t>
      </w:r>
      <w:r>
        <w:rPr>
          <w:lang w:val="en-US"/>
        </w:rPr>
        <w:t xml:space="preserve">is for AGI applications, when filing at </w:t>
      </w:r>
      <w:r w:rsidR="00044647">
        <w:rPr>
          <w:lang w:val="en-US"/>
        </w:rPr>
        <w:t>a</w:t>
      </w:r>
      <w:r>
        <w:rPr>
          <w:lang w:val="en-US"/>
        </w:rPr>
        <w:t xml:space="preserve"> </w:t>
      </w:r>
      <w:proofErr w:type="gramStart"/>
      <w:r>
        <w:rPr>
          <w:lang w:val="en-US"/>
        </w:rPr>
        <w:t>Regional</w:t>
      </w:r>
      <w:proofErr w:type="gramEnd"/>
      <w:r>
        <w:rPr>
          <w:lang w:val="en-US"/>
        </w:rPr>
        <w:t xml:space="preserve"> office is </w:t>
      </w:r>
      <w:r w:rsidR="00532FEA">
        <w:rPr>
          <w:lang w:val="en-US"/>
        </w:rPr>
        <w:t xml:space="preserve">required. Such applications often involve hundreds of pages of paper. They are discussed in Chapter 16 at </w:t>
      </w:r>
      <w:r w:rsidR="003859EB">
        <w:rPr>
          <w:lang w:val="en-US"/>
        </w:rPr>
        <w:t xml:space="preserve">pages </w:t>
      </w:r>
      <w:r w:rsidR="00532FEA">
        <w:rPr>
          <w:lang w:val="en-US"/>
        </w:rPr>
        <w:t>224</w:t>
      </w:r>
      <w:r w:rsidR="003859EB">
        <w:rPr>
          <w:lang w:val="en-US"/>
        </w:rPr>
        <w:t xml:space="preserve"> to </w:t>
      </w:r>
      <w:r w:rsidR="00532FEA">
        <w:rPr>
          <w:lang w:val="en-US"/>
        </w:rPr>
        <w:t>23</w:t>
      </w:r>
      <w:r w:rsidR="00D73168">
        <w:rPr>
          <w:lang w:val="en-US"/>
        </w:rPr>
        <w:t>1</w:t>
      </w:r>
      <w:r w:rsidR="00532FEA">
        <w:rPr>
          <w:lang w:val="en-US"/>
        </w:rPr>
        <w:t>.</w:t>
      </w:r>
    </w:p>
    <w:p w14:paraId="17A17824" w14:textId="1213D57C" w:rsidR="00FF5857" w:rsidRDefault="00FF5857" w:rsidP="00633B6A">
      <w:pPr>
        <w:spacing w:after="80"/>
        <w:rPr>
          <w:lang w:val="en-US"/>
        </w:rPr>
      </w:pPr>
      <w:r>
        <w:rPr>
          <w:lang w:val="en-US"/>
        </w:rPr>
        <w:t>In most cases</w:t>
      </w:r>
      <w:r w:rsidR="00072AD4">
        <w:rPr>
          <w:lang w:val="en-US"/>
        </w:rPr>
        <w:t>,</w:t>
      </w:r>
      <w:r>
        <w:rPr>
          <w:lang w:val="en-US"/>
        </w:rPr>
        <w:t xml:space="preserve"> a fee must be paid to file an application. The fee can be paid by a credit card, or by a certified cheque or money order. </w:t>
      </w:r>
    </w:p>
    <w:p w14:paraId="6A758B73" w14:textId="77777777" w:rsidR="00FD37A5" w:rsidRDefault="00FD37A5" w:rsidP="00633B6A">
      <w:pPr>
        <w:spacing w:after="80"/>
        <w:rPr>
          <w:b/>
          <w:bCs/>
          <w:lang w:val="en-US"/>
        </w:rPr>
      </w:pPr>
    </w:p>
    <w:p w14:paraId="413C0F64" w14:textId="3444D1F7" w:rsidR="00633B6A" w:rsidRDefault="00633B6A" w:rsidP="00633B6A">
      <w:pPr>
        <w:spacing w:after="80"/>
        <w:rPr>
          <w:b/>
          <w:bCs/>
          <w:lang w:val="en-US"/>
        </w:rPr>
      </w:pPr>
      <w:r w:rsidRPr="00E76F42">
        <w:rPr>
          <w:b/>
          <w:bCs/>
          <w:lang w:val="en-US"/>
        </w:rPr>
        <w:t xml:space="preserve">Chapter </w:t>
      </w:r>
      <w:r w:rsidR="00017B60">
        <w:rPr>
          <w:b/>
          <w:bCs/>
          <w:lang w:val="en-US"/>
        </w:rPr>
        <w:t xml:space="preserve">8 </w:t>
      </w:r>
      <w:r w:rsidR="00072AD4">
        <w:rPr>
          <w:b/>
          <w:bCs/>
          <w:lang w:val="en-US"/>
        </w:rPr>
        <w:t>—</w:t>
      </w:r>
      <w:r w:rsidR="00017B60">
        <w:rPr>
          <w:b/>
          <w:bCs/>
          <w:lang w:val="en-US"/>
        </w:rPr>
        <w:t xml:space="preserve"> Tenant Applications</w:t>
      </w:r>
    </w:p>
    <w:p w14:paraId="1E92090C" w14:textId="671DCF97" w:rsidR="00312F38" w:rsidRDefault="00570A4F" w:rsidP="00044647">
      <w:pPr>
        <w:spacing w:after="120"/>
        <w:rPr>
          <w:lang w:val="en-US"/>
        </w:rPr>
      </w:pPr>
      <w:r>
        <w:rPr>
          <w:lang w:val="en-US"/>
        </w:rPr>
        <w:t xml:space="preserve">On </w:t>
      </w:r>
      <w:r w:rsidR="003859EB">
        <w:rPr>
          <w:lang w:val="en-US"/>
        </w:rPr>
        <w:t xml:space="preserve">page </w:t>
      </w:r>
      <w:r>
        <w:rPr>
          <w:lang w:val="en-US"/>
        </w:rPr>
        <w:t>78, at the beginning of the section “Limitation Periods</w:t>
      </w:r>
      <w:r w:rsidR="00072AD4">
        <w:rPr>
          <w:lang w:val="en-US"/>
        </w:rPr>
        <w:t>,</w:t>
      </w:r>
      <w:r>
        <w:rPr>
          <w:lang w:val="en-US"/>
        </w:rPr>
        <w:t>” the text states</w:t>
      </w:r>
      <w:proofErr w:type="gramStart"/>
      <w:r>
        <w:rPr>
          <w:lang w:val="en-US"/>
        </w:rPr>
        <w:t>:</w:t>
      </w:r>
      <w:r w:rsidR="00072AD4">
        <w:rPr>
          <w:lang w:val="en-US"/>
        </w:rPr>
        <w:t xml:space="preserve"> </w:t>
      </w:r>
      <w:r>
        <w:rPr>
          <w:lang w:val="en-US"/>
        </w:rPr>
        <w:t>”</w:t>
      </w:r>
      <w:proofErr w:type="gramEnd"/>
      <w:r>
        <w:rPr>
          <w:lang w:val="en-US"/>
        </w:rPr>
        <w:t xml:space="preserve">… most tenant applications to the Board have a one year </w:t>
      </w:r>
      <w:r w:rsidRPr="00570A4F">
        <w:rPr>
          <w:b/>
          <w:bCs/>
          <w:lang w:val="en-US"/>
        </w:rPr>
        <w:t>limitation period</w:t>
      </w:r>
      <w:r>
        <w:rPr>
          <w:lang w:val="en-US"/>
        </w:rPr>
        <w:t xml:space="preserve">.” </w:t>
      </w:r>
      <w:r w:rsidR="00312F38">
        <w:rPr>
          <w:lang w:val="en-US"/>
        </w:rPr>
        <w:t>That is still correct, but an</w:t>
      </w:r>
      <w:r w:rsidR="004F6F14">
        <w:rPr>
          <w:lang w:val="en-US"/>
        </w:rPr>
        <w:t xml:space="preserve"> unusual </w:t>
      </w:r>
      <w:r w:rsidR="00312F38">
        <w:rPr>
          <w:lang w:val="en-US"/>
        </w:rPr>
        <w:t xml:space="preserve">exception has been added for tenant applications alleging a bad faith eviction for major repairs or renovations. The following explanation should be added after the Case in Point on </w:t>
      </w:r>
      <w:r w:rsidR="003859EB">
        <w:rPr>
          <w:lang w:val="en-US"/>
        </w:rPr>
        <w:t xml:space="preserve">page </w:t>
      </w:r>
      <w:r w:rsidR="00312F38">
        <w:rPr>
          <w:lang w:val="en-US"/>
        </w:rPr>
        <w:t>79:</w:t>
      </w:r>
    </w:p>
    <w:p w14:paraId="50482034" w14:textId="1A59E8E0" w:rsidR="00182A76" w:rsidRDefault="00262BEB" w:rsidP="00044647">
      <w:pPr>
        <w:spacing w:after="120"/>
        <w:rPr>
          <w:lang w:val="en-US"/>
        </w:rPr>
      </w:pPr>
      <w:r>
        <w:rPr>
          <w:lang w:val="en-US"/>
        </w:rPr>
        <w:t xml:space="preserve">Once the relevant sections of Bill 97 have been brought into force, </w:t>
      </w:r>
      <w:r w:rsidR="009057E9">
        <w:rPr>
          <w:lang w:val="en-US"/>
        </w:rPr>
        <w:t xml:space="preserve">there </w:t>
      </w:r>
      <w:r>
        <w:rPr>
          <w:lang w:val="en-US"/>
        </w:rPr>
        <w:t>will be</w:t>
      </w:r>
      <w:r w:rsidR="009057E9">
        <w:rPr>
          <w:lang w:val="en-US"/>
        </w:rPr>
        <w:t xml:space="preserve"> a special limitation period</w:t>
      </w:r>
      <w:r>
        <w:rPr>
          <w:lang w:val="en-US"/>
        </w:rPr>
        <w:t xml:space="preserve"> for claims that a landlord has evicted a tenant </w:t>
      </w:r>
      <w:r w:rsidR="00355C40">
        <w:rPr>
          <w:lang w:val="en-US"/>
        </w:rPr>
        <w:t xml:space="preserve">for renovations </w:t>
      </w:r>
      <w:r>
        <w:rPr>
          <w:lang w:val="en-US"/>
        </w:rPr>
        <w:t>in bad faith</w:t>
      </w:r>
      <w:r w:rsidR="00182A76">
        <w:rPr>
          <w:lang w:val="en-US"/>
        </w:rPr>
        <w:t>.</w:t>
      </w:r>
      <w:r>
        <w:rPr>
          <w:lang w:val="en-US"/>
        </w:rPr>
        <w:t xml:space="preserve"> </w:t>
      </w:r>
      <w:r w:rsidR="00182A76">
        <w:rPr>
          <w:lang w:val="en-US"/>
        </w:rPr>
        <w:t>(Once those section</w:t>
      </w:r>
      <w:r w:rsidR="00072AD4">
        <w:rPr>
          <w:lang w:val="en-US"/>
        </w:rPr>
        <w:t>s</w:t>
      </w:r>
      <w:r w:rsidR="00182A76">
        <w:rPr>
          <w:lang w:val="en-US"/>
        </w:rPr>
        <w:t xml:space="preserve"> are in force</w:t>
      </w:r>
      <w:r w:rsidR="004F6F14">
        <w:rPr>
          <w:lang w:val="en-US"/>
        </w:rPr>
        <w:t>,</w:t>
      </w:r>
      <w:r w:rsidR="00182A76">
        <w:rPr>
          <w:lang w:val="en-US"/>
        </w:rPr>
        <w:t xml:space="preserve"> </w:t>
      </w:r>
      <w:r>
        <w:rPr>
          <w:lang w:val="en-US"/>
        </w:rPr>
        <w:t xml:space="preserve">additional content </w:t>
      </w:r>
      <w:r w:rsidR="004F6F14">
        <w:rPr>
          <w:lang w:val="en-US"/>
        </w:rPr>
        <w:t xml:space="preserve">will be </w:t>
      </w:r>
      <w:r>
        <w:rPr>
          <w:lang w:val="en-US"/>
        </w:rPr>
        <w:t>provided for Chapte</w:t>
      </w:r>
      <w:r w:rsidR="00044647">
        <w:rPr>
          <w:lang w:val="en-US"/>
        </w:rPr>
        <w:t>r 10</w:t>
      </w:r>
      <w:r w:rsidR="004F6F14">
        <w:rPr>
          <w:lang w:val="en-US"/>
        </w:rPr>
        <w:t>,</w:t>
      </w:r>
      <w:r>
        <w:rPr>
          <w:lang w:val="en-US"/>
        </w:rPr>
        <w:t xml:space="preserve"> </w:t>
      </w:r>
      <w:r w:rsidR="00182A76">
        <w:rPr>
          <w:lang w:val="en-US"/>
        </w:rPr>
        <w:t xml:space="preserve">giving </w:t>
      </w:r>
      <w:r>
        <w:rPr>
          <w:lang w:val="en-US"/>
        </w:rPr>
        <w:t>more information about the issues involved in claims for bad faith evictions</w:t>
      </w:r>
      <w:r w:rsidR="00355C40">
        <w:rPr>
          <w:lang w:val="en-US"/>
        </w:rPr>
        <w:t xml:space="preserve"> for renovations</w:t>
      </w:r>
      <w:r>
        <w:rPr>
          <w:lang w:val="en-US"/>
        </w:rPr>
        <w:t>.</w:t>
      </w:r>
      <w:r w:rsidR="00182A76">
        <w:rPr>
          <w:lang w:val="en-US"/>
        </w:rPr>
        <w:t>) This material addresses the limitation periods.</w:t>
      </w:r>
    </w:p>
    <w:p w14:paraId="7E027E63" w14:textId="0163A289" w:rsidR="00312F38" w:rsidRDefault="00262BEB" w:rsidP="00044647">
      <w:pPr>
        <w:spacing w:after="120"/>
        <w:rPr>
          <w:lang w:val="en-US"/>
        </w:rPr>
      </w:pPr>
      <w:r>
        <w:rPr>
          <w:lang w:val="en-US"/>
        </w:rPr>
        <w:t>Instead of the normal limit of one year from the wrongful act, s</w:t>
      </w:r>
      <w:r w:rsidR="00072AD4">
        <w:rPr>
          <w:lang w:val="en-US"/>
        </w:rPr>
        <w:t>ection</w:t>
      </w:r>
      <w:r w:rsidR="004F6F14">
        <w:rPr>
          <w:lang w:val="en-US"/>
        </w:rPr>
        <w:t xml:space="preserve"> 57.1(2) already</w:t>
      </w:r>
      <w:r w:rsidR="00182A76">
        <w:rPr>
          <w:lang w:val="en-US"/>
        </w:rPr>
        <w:t xml:space="preserve"> </w:t>
      </w:r>
      <w:r>
        <w:rPr>
          <w:lang w:val="en-US"/>
        </w:rPr>
        <w:t>provide</w:t>
      </w:r>
      <w:r w:rsidR="004F6F14">
        <w:rPr>
          <w:lang w:val="en-US"/>
        </w:rPr>
        <w:t>s</w:t>
      </w:r>
      <w:r w:rsidR="00182A76">
        <w:rPr>
          <w:lang w:val="en-US"/>
        </w:rPr>
        <w:t xml:space="preserve"> for a limit of two years from the date the </w:t>
      </w:r>
      <w:r w:rsidR="00355C40">
        <w:rPr>
          <w:lang w:val="en-US"/>
        </w:rPr>
        <w:t xml:space="preserve">former </w:t>
      </w:r>
      <w:r w:rsidR="00182A76">
        <w:rPr>
          <w:lang w:val="en-US"/>
        </w:rPr>
        <w:t>tenant vacate</w:t>
      </w:r>
      <w:r w:rsidR="00355C40">
        <w:rPr>
          <w:lang w:val="en-US"/>
        </w:rPr>
        <w:t>d</w:t>
      </w:r>
      <w:r w:rsidR="00182A76">
        <w:rPr>
          <w:lang w:val="en-US"/>
        </w:rPr>
        <w:t xml:space="preserve"> the unit. </w:t>
      </w:r>
      <w:r w:rsidR="00DA6E3C">
        <w:rPr>
          <w:lang w:val="en-US"/>
        </w:rPr>
        <w:t xml:space="preserve">If the tenant indicates they want to return to the rental unit, </w:t>
      </w:r>
      <w:r w:rsidR="00182A76">
        <w:rPr>
          <w:lang w:val="en-US"/>
        </w:rPr>
        <w:t>a landlord is required to provide the tenant information after the tenant has left the unit</w:t>
      </w:r>
      <w:r w:rsidR="00DA6E3C">
        <w:rPr>
          <w:lang w:val="en-US"/>
        </w:rPr>
        <w:t>. Th</w:t>
      </w:r>
      <w:r w:rsidR="003844C8">
        <w:rPr>
          <w:lang w:val="en-US"/>
        </w:rPr>
        <w:t xml:space="preserve">e special limitation period is that </w:t>
      </w:r>
      <w:r w:rsidR="00DA6E3C">
        <w:rPr>
          <w:lang w:val="en-US"/>
        </w:rPr>
        <w:t xml:space="preserve">the </w:t>
      </w:r>
      <w:r w:rsidR="003844C8">
        <w:rPr>
          <w:lang w:val="en-US"/>
        </w:rPr>
        <w:t xml:space="preserve">former </w:t>
      </w:r>
      <w:r w:rsidR="00DA6E3C">
        <w:rPr>
          <w:lang w:val="en-US"/>
        </w:rPr>
        <w:t>tenant</w:t>
      </w:r>
      <w:r w:rsidR="003844C8">
        <w:rPr>
          <w:lang w:val="en-US"/>
        </w:rPr>
        <w:t xml:space="preserve"> will also have</w:t>
      </w:r>
      <w:r w:rsidR="00DA6E3C">
        <w:rPr>
          <w:lang w:val="en-US"/>
        </w:rPr>
        <w:t xml:space="preserve"> until </w:t>
      </w:r>
      <w:r w:rsidR="00072AD4">
        <w:rPr>
          <w:lang w:val="en-US"/>
        </w:rPr>
        <w:t>six</w:t>
      </w:r>
      <w:r w:rsidR="00DA6E3C">
        <w:rPr>
          <w:lang w:val="en-US"/>
        </w:rPr>
        <w:t xml:space="preserve"> months after </w:t>
      </w:r>
      <w:r w:rsidR="0070059F">
        <w:rPr>
          <w:lang w:val="en-US"/>
        </w:rPr>
        <w:t xml:space="preserve">the </w:t>
      </w:r>
      <w:r w:rsidR="003844C8">
        <w:rPr>
          <w:lang w:val="en-US"/>
        </w:rPr>
        <w:t xml:space="preserve">major </w:t>
      </w:r>
      <w:r w:rsidR="0070059F">
        <w:rPr>
          <w:lang w:val="en-US"/>
        </w:rPr>
        <w:t>repairs or renovation</w:t>
      </w:r>
      <w:r w:rsidR="003844C8">
        <w:rPr>
          <w:lang w:val="en-US"/>
        </w:rPr>
        <w:t>s</w:t>
      </w:r>
      <w:r w:rsidR="0070059F">
        <w:rPr>
          <w:lang w:val="en-US"/>
        </w:rPr>
        <w:t xml:space="preserve"> are completed</w:t>
      </w:r>
      <w:r w:rsidR="00DA6E3C">
        <w:rPr>
          <w:lang w:val="en-US"/>
        </w:rPr>
        <w:t xml:space="preserve"> to file an application. The limitation period will run until the later of two years after </w:t>
      </w:r>
      <w:r w:rsidR="0070059F">
        <w:rPr>
          <w:lang w:val="en-US"/>
        </w:rPr>
        <w:t>the tenant vacates</w:t>
      </w:r>
      <w:r w:rsidR="00DA6E3C">
        <w:rPr>
          <w:lang w:val="en-US"/>
        </w:rPr>
        <w:t xml:space="preserve"> </w:t>
      </w:r>
      <w:r w:rsidR="003844C8">
        <w:rPr>
          <w:lang w:val="en-US"/>
        </w:rPr>
        <w:t>and</w:t>
      </w:r>
      <w:r w:rsidR="00DA6E3C">
        <w:rPr>
          <w:lang w:val="en-US"/>
        </w:rPr>
        <w:t xml:space="preserve"> </w:t>
      </w:r>
      <w:r w:rsidR="00072AD4">
        <w:rPr>
          <w:lang w:val="en-US"/>
        </w:rPr>
        <w:t>six</w:t>
      </w:r>
      <w:r w:rsidR="00DA6E3C">
        <w:rPr>
          <w:lang w:val="en-US"/>
        </w:rPr>
        <w:t xml:space="preserve"> months after</w:t>
      </w:r>
      <w:r w:rsidR="0070059F">
        <w:rPr>
          <w:lang w:val="en-US"/>
        </w:rPr>
        <w:t xml:space="preserve"> the repairs or renovations are complete</w:t>
      </w:r>
      <w:r w:rsidR="00DA6E3C">
        <w:rPr>
          <w:lang w:val="en-US"/>
        </w:rPr>
        <w:t>.</w:t>
      </w:r>
    </w:p>
    <w:p w14:paraId="7897C141" w14:textId="23489FE0" w:rsidR="00DA6E3C" w:rsidRDefault="00DA6E3C" w:rsidP="00237EB5">
      <w:pPr>
        <w:rPr>
          <w:lang w:val="en-US"/>
        </w:rPr>
      </w:pPr>
      <w:r>
        <w:rPr>
          <w:lang w:val="en-US"/>
        </w:rPr>
        <w:t xml:space="preserve">Unlike </w:t>
      </w:r>
      <w:r w:rsidR="00E74360">
        <w:rPr>
          <w:lang w:val="en-US"/>
        </w:rPr>
        <w:t xml:space="preserve">under </w:t>
      </w:r>
      <w:r>
        <w:rPr>
          <w:lang w:val="en-US"/>
        </w:rPr>
        <w:t xml:space="preserve">the usual </w:t>
      </w:r>
      <w:r w:rsidR="00E74360">
        <w:rPr>
          <w:lang w:val="en-US"/>
        </w:rPr>
        <w:t>rules</w:t>
      </w:r>
      <w:r>
        <w:rPr>
          <w:lang w:val="en-US"/>
        </w:rPr>
        <w:t>, the extended limitation period</w:t>
      </w:r>
      <w:r w:rsidR="003844C8">
        <w:rPr>
          <w:lang w:val="en-US"/>
        </w:rPr>
        <w:t xml:space="preserve"> is</w:t>
      </w:r>
      <w:r>
        <w:rPr>
          <w:lang w:val="en-US"/>
        </w:rPr>
        <w:t xml:space="preserve"> to apply </w:t>
      </w:r>
      <w:r w:rsidR="0070059F">
        <w:rPr>
          <w:lang w:val="en-US"/>
        </w:rPr>
        <w:t>to applications made but not finally determined when the new limitation period is brought into force</w:t>
      </w:r>
      <w:r w:rsidR="00E74360">
        <w:rPr>
          <w:lang w:val="en-US"/>
        </w:rPr>
        <w:t xml:space="preserve">. In addition, if an application has been dismissed for failure to file within two years of vacating the unit, a former tenant may make a fresh application to claim compliance with the </w:t>
      </w:r>
      <w:r w:rsidR="003844C8">
        <w:rPr>
          <w:lang w:val="en-US"/>
        </w:rPr>
        <w:t xml:space="preserve">new </w:t>
      </w:r>
      <w:r w:rsidR="00072AD4">
        <w:rPr>
          <w:lang w:val="en-US"/>
        </w:rPr>
        <w:t>six-month</w:t>
      </w:r>
      <w:r w:rsidR="00E74360">
        <w:rPr>
          <w:lang w:val="en-US"/>
        </w:rPr>
        <w:t xml:space="preserve"> limit</w:t>
      </w:r>
      <w:r w:rsidR="006F6C36">
        <w:rPr>
          <w:lang w:val="en-US"/>
        </w:rPr>
        <w:t>.</w:t>
      </w:r>
    </w:p>
    <w:p w14:paraId="50C438B1" w14:textId="77777777" w:rsidR="007428C4" w:rsidRDefault="007428C4" w:rsidP="007428C4">
      <w:pPr>
        <w:spacing w:after="80"/>
        <w:rPr>
          <w:b/>
          <w:bCs/>
          <w:lang w:val="en-US"/>
        </w:rPr>
      </w:pPr>
    </w:p>
    <w:p w14:paraId="12BFABEE" w14:textId="2982DECD" w:rsidR="007428C4" w:rsidRDefault="007428C4" w:rsidP="007428C4">
      <w:pPr>
        <w:spacing w:after="80"/>
        <w:rPr>
          <w:b/>
          <w:bCs/>
          <w:lang w:val="en-US"/>
        </w:rPr>
      </w:pPr>
      <w:r w:rsidRPr="00E76F42">
        <w:rPr>
          <w:b/>
          <w:bCs/>
          <w:lang w:val="en-US"/>
        </w:rPr>
        <w:t xml:space="preserve">Chapter </w:t>
      </w:r>
      <w:r w:rsidR="00B223C1">
        <w:rPr>
          <w:b/>
          <w:bCs/>
          <w:lang w:val="en-US"/>
        </w:rPr>
        <w:t xml:space="preserve">9 </w:t>
      </w:r>
      <w:r w:rsidR="00072AD4">
        <w:rPr>
          <w:b/>
          <w:bCs/>
          <w:lang w:val="en-US"/>
        </w:rPr>
        <w:t>—</w:t>
      </w:r>
      <w:r w:rsidR="00B223C1">
        <w:rPr>
          <w:b/>
          <w:bCs/>
          <w:lang w:val="en-US"/>
        </w:rPr>
        <w:t xml:space="preserve"> Terminating Tenancies: Fault Grounds</w:t>
      </w:r>
    </w:p>
    <w:p w14:paraId="034F2C05" w14:textId="77777777" w:rsidR="00F26982" w:rsidRPr="00B124D6" w:rsidRDefault="00F26982" w:rsidP="00F26982">
      <w:pPr>
        <w:rPr>
          <w:lang w:val="en-US"/>
        </w:rPr>
      </w:pPr>
      <w:r w:rsidRPr="00B124D6">
        <w:rPr>
          <w:lang w:val="en-US"/>
        </w:rPr>
        <w:t>Since</w:t>
      </w:r>
      <w:r>
        <w:rPr>
          <w:lang w:val="en-US"/>
        </w:rPr>
        <w:t xml:space="preserve"> the </w:t>
      </w:r>
      <w:r w:rsidRPr="00B124D6">
        <w:rPr>
          <w:lang w:val="en-US"/>
        </w:rPr>
        <w:t>editing of the text closed in September 2021, there have been no significant changes affecting this chapter.</w:t>
      </w:r>
    </w:p>
    <w:p w14:paraId="3C6E8197" w14:textId="04B854AB" w:rsidR="00F26982" w:rsidRDefault="00B223C1" w:rsidP="00237EB5">
      <w:pPr>
        <w:rPr>
          <w:lang w:val="en-US"/>
        </w:rPr>
      </w:pPr>
      <w:r>
        <w:rPr>
          <w:lang w:val="en-US"/>
        </w:rPr>
        <w:t xml:space="preserve">On page 107, in the box, at the end of paragraph </w:t>
      </w:r>
      <w:r w:rsidR="00072AD4">
        <w:rPr>
          <w:lang w:val="en-US"/>
        </w:rPr>
        <w:t>one</w:t>
      </w:r>
      <w:r>
        <w:rPr>
          <w:lang w:val="en-US"/>
        </w:rPr>
        <w:t xml:space="preserve">, there is a note that “As of June 2021, no end date has been prescribed.” That </w:t>
      </w:r>
      <w:r w:rsidR="00367C14">
        <w:rPr>
          <w:lang w:val="en-US"/>
        </w:rPr>
        <w:t>should</w:t>
      </w:r>
      <w:r>
        <w:rPr>
          <w:lang w:val="en-US"/>
        </w:rPr>
        <w:t xml:space="preserve"> be update</w:t>
      </w:r>
      <w:r w:rsidR="00367C14">
        <w:rPr>
          <w:lang w:val="en-US"/>
        </w:rPr>
        <w:t>d</w:t>
      </w:r>
      <w:r>
        <w:rPr>
          <w:lang w:val="en-US"/>
        </w:rPr>
        <w:t xml:space="preserve"> to read</w:t>
      </w:r>
      <w:r w:rsidR="00367C14">
        <w:rPr>
          <w:lang w:val="en-US"/>
        </w:rPr>
        <w:t xml:space="preserve">: </w:t>
      </w:r>
      <w:r>
        <w:rPr>
          <w:lang w:val="en-US"/>
        </w:rPr>
        <w:t>“As of August 2023, no end date has been prescribed.”</w:t>
      </w:r>
    </w:p>
    <w:p w14:paraId="6DBFAE11" w14:textId="77777777" w:rsidR="0080496C" w:rsidRDefault="0080496C" w:rsidP="007428C4">
      <w:pPr>
        <w:spacing w:after="80"/>
        <w:rPr>
          <w:b/>
          <w:bCs/>
          <w:lang w:val="en-US"/>
        </w:rPr>
      </w:pPr>
    </w:p>
    <w:p w14:paraId="37722474" w14:textId="5ED95377" w:rsidR="007428C4" w:rsidRDefault="007428C4" w:rsidP="007428C4">
      <w:pPr>
        <w:spacing w:after="80"/>
        <w:rPr>
          <w:b/>
          <w:bCs/>
          <w:lang w:val="en-US"/>
        </w:rPr>
      </w:pPr>
      <w:r w:rsidRPr="00E76F42">
        <w:rPr>
          <w:b/>
          <w:bCs/>
          <w:lang w:val="en-US"/>
        </w:rPr>
        <w:t xml:space="preserve">Chapter </w:t>
      </w:r>
      <w:r w:rsidR="001954FA">
        <w:rPr>
          <w:b/>
          <w:bCs/>
          <w:lang w:val="en-US"/>
        </w:rPr>
        <w:t xml:space="preserve">10 </w:t>
      </w:r>
      <w:r w:rsidR="00072AD4">
        <w:rPr>
          <w:b/>
          <w:bCs/>
          <w:lang w:val="en-US"/>
        </w:rPr>
        <w:t>—</w:t>
      </w:r>
      <w:r w:rsidR="001954FA">
        <w:rPr>
          <w:b/>
          <w:bCs/>
          <w:lang w:val="en-US"/>
        </w:rPr>
        <w:t xml:space="preserve"> </w:t>
      </w:r>
      <w:r w:rsidR="0080496C">
        <w:rPr>
          <w:b/>
          <w:bCs/>
          <w:lang w:val="en-US"/>
        </w:rPr>
        <w:t>Terminating the Tenancy Agreement: No-Fault Grounds</w:t>
      </w:r>
    </w:p>
    <w:p w14:paraId="4F5B82D9" w14:textId="2A1B5562" w:rsidR="00CA739D" w:rsidRPr="00C647AF" w:rsidRDefault="00C647AF" w:rsidP="00C647AF">
      <w:pPr>
        <w:rPr>
          <w:lang w:val="en-US"/>
        </w:rPr>
      </w:pPr>
      <w:r>
        <w:rPr>
          <w:lang w:val="en-US"/>
        </w:rPr>
        <w:t xml:space="preserve">At </w:t>
      </w:r>
      <w:r w:rsidR="003859EB">
        <w:rPr>
          <w:lang w:val="en-US"/>
        </w:rPr>
        <w:t xml:space="preserve">page </w:t>
      </w:r>
      <w:r>
        <w:rPr>
          <w:lang w:val="en-US"/>
        </w:rPr>
        <w:t>142</w:t>
      </w:r>
      <w:r w:rsidR="003108F4">
        <w:rPr>
          <w:lang w:val="en-US"/>
        </w:rPr>
        <w:t>,</w:t>
      </w:r>
      <w:r>
        <w:rPr>
          <w:lang w:val="en-US"/>
        </w:rPr>
        <w:t xml:space="preserve"> add the following at the end of the section entitled “Repairs or Renovations”: </w:t>
      </w:r>
      <w:r w:rsidR="00633746" w:rsidRPr="00C647AF">
        <w:rPr>
          <w:lang w:val="en-US"/>
        </w:rPr>
        <w:t xml:space="preserve">When </w:t>
      </w:r>
      <w:r w:rsidR="00CA739D" w:rsidRPr="00C647AF">
        <w:rPr>
          <w:lang w:val="en-US"/>
        </w:rPr>
        <w:t>Bill 9</w:t>
      </w:r>
      <w:r w:rsidR="00633746" w:rsidRPr="00C647AF">
        <w:rPr>
          <w:lang w:val="en-US"/>
        </w:rPr>
        <w:t xml:space="preserve">7 is brought into </w:t>
      </w:r>
      <w:r w:rsidR="00CA739D" w:rsidRPr="00C647AF">
        <w:rPr>
          <w:lang w:val="en-US"/>
        </w:rPr>
        <w:t xml:space="preserve">force, </w:t>
      </w:r>
      <w:r w:rsidR="00633746" w:rsidRPr="00C647AF">
        <w:rPr>
          <w:lang w:val="en-US"/>
        </w:rPr>
        <w:t xml:space="preserve">it will </w:t>
      </w:r>
      <w:r w:rsidR="00CA739D" w:rsidRPr="00C647AF">
        <w:rPr>
          <w:lang w:val="en-US"/>
        </w:rPr>
        <w:t>make it mandatory for landlords who serve tenants with an N13 notice of eviction to provide them with a report from a qualified individual stat</w:t>
      </w:r>
      <w:r w:rsidR="00633746" w:rsidRPr="00C647AF">
        <w:rPr>
          <w:lang w:val="en-US"/>
        </w:rPr>
        <w:t>ing</w:t>
      </w:r>
      <w:r w:rsidR="00CA739D" w:rsidRPr="00C647AF">
        <w:rPr>
          <w:lang w:val="en-US"/>
        </w:rPr>
        <w:t xml:space="preserve"> that vacant possession is needed to carry out the work and that a building permit will have to be issued. An expected timeline for the renovation must also be included.</w:t>
      </w:r>
    </w:p>
    <w:p w14:paraId="3C2C3D99" w14:textId="5FFD9278" w:rsidR="00CA739D" w:rsidRPr="00C647AF" w:rsidRDefault="00CA739D" w:rsidP="00C647AF">
      <w:pPr>
        <w:rPr>
          <w:lang w:val="en-US"/>
        </w:rPr>
      </w:pPr>
      <w:r w:rsidRPr="00C647AF">
        <w:rPr>
          <w:lang w:val="en-US"/>
        </w:rPr>
        <w:t xml:space="preserve">If </w:t>
      </w:r>
      <w:r w:rsidR="00633746" w:rsidRPr="00C647AF">
        <w:rPr>
          <w:lang w:val="en-US"/>
        </w:rPr>
        <w:t xml:space="preserve">a landlord does not deliver the report, </w:t>
      </w:r>
      <w:r w:rsidRPr="00C647AF">
        <w:rPr>
          <w:lang w:val="en-US"/>
        </w:rPr>
        <w:t>the N13 notice is void</w:t>
      </w:r>
      <w:r w:rsidR="00072AD4">
        <w:rPr>
          <w:lang w:val="en-US"/>
        </w:rPr>
        <w:t>,</w:t>
      </w:r>
      <w:r w:rsidRPr="00C647AF">
        <w:rPr>
          <w:lang w:val="en-US"/>
        </w:rPr>
        <w:t xml:space="preserve"> and </w:t>
      </w:r>
      <w:r w:rsidR="00633746" w:rsidRPr="00C647AF">
        <w:rPr>
          <w:lang w:val="en-US"/>
        </w:rPr>
        <w:t xml:space="preserve">the </w:t>
      </w:r>
      <w:r w:rsidRPr="00C647AF">
        <w:rPr>
          <w:lang w:val="en-US"/>
        </w:rPr>
        <w:t>landlord</w:t>
      </w:r>
      <w:r w:rsidR="00633746" w:rsidRPr="00C647AF">
        <w:rPr>
          <w:lang w:val="en-US"/>
        </w:rPr>
        <w:t xml:space="preserve"> will not </w:t>
      </w:r>
      <w:r w:rsidRPr="00C647AF">
        <w:rPr>
          <w:lang w:val="en-US"/>
        </w:rPr>
        <w:t>be granted</w:t>
      </w:r>
      <w:r w:rsidR="00633746" w:rsidRPr="00C647AF">
        <w:rPr>
          <w:lang w:val="en-US"/>
        </w:rPr>
        <w:t xml:space="preserve"> their termination: s</w:t>
      </w:r>
      <w:r w:rsidR="00072AD4">
        <w:rPr>
          <w:lang w:val="en-US"/>
        </w:rPr>
        <w:t>ection</w:t>
      </w:r>
      <w:r w:rsidR="00633746" w:rsidRPr="00C647AF">
        <w:rPr>
          <w:lang w:val="en-US"/>
        </w:rPr>
        <w:t xml:space="preserve"> </w:t>
      </w:r>
      <w:r w:rsidR="00C647AF" w:rsidRPr="00C647AF">
        <w:rPr>
          <w:lang w:val="en-US"/>
        </w:rPr>
        <w:t>50(3.1)</w:t>
      </w:r>
      <w:r w:rsidR="00633746" w:rsidRPr="00C647AF">
        <w:rPr>
          <w:lang w:val="en-US"/>
        </w:rPr>
        <w:t>. Bill 97 also provides that an</w:t>
      </w:r>
      <w:r w:rsidRPr="00C647AF">
        <w:rPr>
          <w:lang w:val="en-US"/>
        </w:rPr>
        <w:t xml:space="preserve"> adjudicator is not bound by a report indicating that vacant possession is needed</w:t>
      </w:r>
      <w:r w:rsidR="00C647AF" w:rsidRPr="00C647AF">
        <w:rPr>
          <w:lang w:val="en-US"/>
        </w:rPr>
        <w:t>: s</w:t>
      </w:r>
      <w:r w:rsidR="00072AD4">
        <w:rPr>
          <w:lang w:val="en-US"/>
        </w:rPr>
        <w:t>ection</w:t>
      </w:r>
      <w:r w:rsidR="00C647AF" w:rsidRPr="00C647AF">
        <w:rPr>
          <w:lang w:val="en-US"/>
        </w:rPr>
        <w:t xml:space="preserve"> 73(4)</w:t>
      </w:r>
      <w:r w:rsidRPr="00C647AF">
        <w:rPr>
          <w:lang w:val="en-US"/>
        </w:rPr>
        <w:t>.</w:t>
      </w:r>
    </w:p>
    <w:p w14:paraId="3723AD89" w14:textId="6CD2D939" w:rsidR="008D4FB1" w:rsidRPr="00C647AF" w:rsidRDefault="008D4FB1" w:rsidP="00C647AF">
      <w:pPr>
        <w:pStyle w:val="Body"/>
        <w:rPr>
          <w:rFonts w:ascii="Times New Roman" w:eastAsia="Times New Roman" w:hAnsi="Times New Roman" w:cs="Times New Roman"/>
          <w:sz w:val="26"/>
          <w:szCs w:val="26"/>
          <w:lang w:val="en-US"/>
        </w:rPr>
      </w:pPr>
    </w:p>
    <w:p w14:paraId="270FAFAC" w14:textId="5D402961" w:rsidR="007428C4" w:rsidRDefault="007428C4" w:rsidP="008D4FB1">
      <w:pPr>
        <w:keepNext/>
        <w:keepLines/>
        <w:spacing w:after="80"/>
        <w:rPr>
          <w:b/>
          <w:bCs/>
          <w:lang w:val="en-US"/>
        </w:rPr>
      </w:pPr>
      <w:r w:rsidRPr="00E76F42">
        <w:rPr>
          <w:b/>
          <w:bCs/>
          <w:lang w:val="en-US"/>
        </w:rPr>
        <w:t xml:space="preserve">Chapter </w:t>
      </w:r>
      <w:r w:rsidR="008D4FB1">
        <w:rPr>
          <w:b/>
          <w:bCs/>
          <w:lang w:val="en-US"/>
        </w:rPr>
        <w:t xml:space="preserve">11 </w:t>
      </w:r>
      <w:r w:rsidR="00072AD4">
        <w:rPr>
          <w:b/>
          <w:bCs/>
          <w:lang w:val="en-US"/>
        </w:rPr>
        <w:t>—</w:t>
      </w:r>
      <w:r w:rsidR="008D4FB1">
        <w:rPr>
          <w:b/>
          <w:bCs/>
          <w:lang w:val="en-US"/>
        </w:rPr>
        <w:t xml:space="preserve"> </w:t>
      </w:r>
      <w:r w:rsidR="008F4174">
        <w:rPr>
          <w:b/>
          <w:bCs/>
          <w:lang w:val="en-US"/>
        </w:rPr>
        <w:t>Processing Application Under the RTA</w:t>
      </w:r>
    </w:p>
    <w:p w14:paraId="2EE49695" w14:textId="77777777" w:rsidR="00044647" w:rsidRPr="00B124D6" w:rsidRDefault="00044647" w:rsidP="00044647">
      <w:pPr>
        <w:rPr>
          <w:lang w:val="en-US"/>
        </w:rPr>
      </w:pPr>
      <w:r w:rsidRPr="00B124D6">
        <w:rPr>
          <w:lang w:val="en-US"/>
        </w:rPr>
        <w:t>Since</w:t>
      </w:r>
      <w:r>
        <w:rPr>
          <w:lang w:val="en-US"/>
        </w:rPr>
        <w:t xml:space="preserve"> the </w:t>
      </w:r>
      <w:r w:rsidRPr="00B124D6">
        <w:rPr>
          <w:lang w:val="en-US"/>
        </w:rPr>
        <w:t>editing of the text closed in September 2021, there have been no significant changes affecting this chapter.</w:t>
      </w:r>
    </w:p>
    <w:p w14:paraId="074DCF1D" w14:textId="77777777" w:rsidR="008D4FB1" w:rsidRDefault="008D4FB1" w:rsidP="008D4FB1">
      <w:pPr>
        <w:rPr>
          <w:lang w:val="en-US"/>
        </w:rPr>
      </w:pPr>
    </w:p>
    <w:p w14:paraId="44C65F05" w14:textId="3370A0E2" w:rsidR="008D4FB1" w:rsidRDefault="008D4FB1" w:rsidP="008D4FB1">
      <w:pPr>
        <w:spacing w:after="80"/>
        <w:rPr>
          <w:b/>
          <w:bCs/>
          <w:lang w:val="en-US"/>
        </w:rPr>
      </w:pPr>
      <w:r w:rsidRPr="00E76F42">
        <w:rPr>
          <w:b/>
          <w:bCs/>
          <w:lang w:val="en-US"/>
        </w:rPr>
        <w:t xml:space="preserve">Chapter </w:t>
      </w:r>
      <w:r>
        <w:rPr>
          <w:b/>
          <w:bCs/>
          <w:lang w:val="en-US"/>
        </w:rPr>
        <w:t xml:space="preserve">12 </w:t>
      </w:r>
      <w:r w:rsidR="00072AD4">
        <w:rPr>
          <w:b/>
          <w:bCs/>
          <w:lang w:val="en-US"/>
        </w:rPr>
        <w:t>—</w:t>
      </w:r>
      <w:r>
        <w:rPr>
          <w:b/>
          <w:bCs/>
          <w:lang w:val="en-US"/>
        </w:rPr>
        <w:t xml:space="preserve"> </w:t>
      </w:r>
      <w:r w:rsidR="00AA40AE">
        <w:rPr>
          <w:b/>
          <w:bCs/>
          <w:lang w:val="en-US"/>
        </w:rPr>
        <w:t>Negotiations, Mediation, and Hearings</w:t>
      </w:r>
    </w:p>
    <w:p w14:paraId="73415E1E" w14:textId="2E16777D" w:rsidR="005E652F" w:rsidRDefault="00181533" w:rsidP="00A01F6C">
      <w:pPr>
        <w:spacing w:after="120" w:line="252" w:lineRule="auto"/>
        <w:rPr>
          <w:lang w:val="en-US"/>
        </w:rPr>
      </w:pPr>
      <w:r>
        <w:rPr>
          <w:lang w:val="en-US"/>
        </w:rPr>
        <w:t>On</w:t>
      </w:r>
      <w:r w:rsidR="00067A4F">
        <w:rPr>
          <w:lang w:val="en-US"/>
        </w:rPr>
        <w:t xml:space="preserve"> </w:t>
      </w:r>
      <w:r w:rsidR="003859EB">
        <w:rPr>
          <w:lang w:val="en-US"/>
        </w:rPr>
        <w:t xml:space="preserve">page </w:t>
      </w:r>
      <w:r w:rsidR="005E652F">
        <w:rPr>
          <w:lang w:val="en-US"/>
        </w:rPr>
        <w:t>161, there is a box abou</w:t>
      </w:r>
      <w:r w:rsidR="00067A4F">
        <w:rPr>
          <w:lang w:val="en-US"/>
        </w:rPr>
        <w:t>t</w:t>
      </w:r>
      <w:r w:rsidR="005E652F">
        <w:rPr>
          <w:lang w:val="en-US"/>
        </w:rPr>
        <w:t xml:space="preserve"> the Landlord Obligation to attempt to negotiate a payment plan. That obligation still exists, but the </w:t>
      </w:r>
      <w:r w:rsidR="00067A4F">
        <w:rPr>
          <w:lang w:val="en-US"/>
        </w:rPr>
        <w:t>Board has not put specifics around it.</w:t>
      </w:r>
    </w:p>
    <w:p w14:paraId="638630F5" w14:textId="332384D2" w:rsidR="00ED13CB" w:rsidRDefault="00ED13CB" w:rsidP="00A01F6C">
      <w:pPr>
        <w:spacing w:after="120" w:line="252" w:lineRule="auto"/>
        <w:rPr>
          <w:lang w:val="en-US"/>
        </w:rPr>
      </w:pPr>
      <w:r>
        <w:rPr>
          <w:lang w:val="en-US"/>
        </w:rPr>
        <w:t xml:space="preserve">At the top of </w:t>
      </w:r>
      <w:r w:rsidR="003859EB">
        <w:rPr>
          <w:lang w:val="en-US"/>
        </w:rPr>
        <w:t xml:space="preserve">page </w:t>
      </w:r>
      <w:r>
        <w:rPr>
          <w:lang w:val="en-US"/>
        </w:rPr>
        <w:t>167, readers are invite</w:t>
      </w:r>
      <w:r w:rsidR="00AE14F9">
        <w:rPr>
          <w:lang w:val="en-US"/>
        </w:rPr>
        <w:t>d</w:t>
      </w:r>
      <w:r>
        <w:rPr>
          <w:lang w:val="en-US"/>
        </w:rPr>
        <w:t xml:space="preserve"> to </w:t>
      </w:r>
      <w:r w:rsidR="00AE14F9">
        <w:rPr>
          <w:lang w:val="en-US"/>
        </w:rPr>
        <w:t>check the emond.ca website for an update on the usual hearing processing. Here it is:</w:t>
      </w:r>
    </w:p>
    <w:p w14:paraId="1D904ED1" w14:textId="19A32E38" w:rsidR="0099762D" w:rsidRDefault="0099762D" w:rsidP="00A01F6C">
      <w:pPr>
        <w:spacing w:after="120" w:line="252" w:lineRule="auto"/>
        <w:rPr>
          <w:lang w:val="en-US"/>
        </w:rPr>
      </w:pPr>
      <w:r>
        <w:rPr>
          <w:lang w:val="en-US"/>
        </w:rPr>
        <w:t>The Board is now holding almost all its hearing</w:t>
      </w:r>
      <w:r w:rsidR="00181533">
        <w:rPr>
          <w:lang w:val="en-US"/>
        </w:rPr>
        <w:t>s</w:t>
      </w:r>
      <w:r>
        <w:rPr>
          <w:lang w:val="en-US"/>
        </w:rPr>
        <w:t xml:space="preserve"> by Zoom video conference. The most common set up has a Board employee sign people in and give them a name tag with their </w:t>
      </w:r>
      <w:r w:rsidR="007969FE">
        <w:rPr>
          <w:lang w:val="en-US"/>
        </w:rPr>
        <w:t>docket</w:t>
      </w:r>
      <w:r>
        <w:rPr>
          <w:lang w:val="en-US"/>
        </w:rPr>
        <w:t xml:space="preserve"> number and role, such as </w:t>
      </w:r>
      <w:r w:rsidR="007969FE">
        <w:rPr>
          <w:lang w:val="en-US"/>
        </w:rPr>
        <w:t>“</w:t>
      </w:r>
      <w:r>
        <w:rPr>
          <w:lang w:val="en-US"/>
        </w:rPr>
        <w:t>#14-Tenant</w:t>
      </w:r>
      <w:r w:rsidR="007969FE">
        <w:rPr>
          <w:lang w:val="en-US"/>
        </w:rPr>
        <w:t>”</w:t>
      </w:r>
      <w:r>
        <w:rPr>
          <w:lang w:val="en-US"/>
        </w:rPr>
        <w:t xml:space="preserve"> or </w:t>
      </w:r>
      <w:r w:rsidR="007969FE">
        <w:rPr>
          <w:lang w:val="en-US"/>
        </w:rPr>
        <w:t>“</w:t>
      </w:r>
      <w:r>
        <w:rPr>
          <w:lang w:val="en-US"/>
        </w:rPr>
        <w:t>#20–LL rep</w:t>
      </w:r>
      <w:r w:rsidR="00181533">
        <w:rPr>
          <w:lang w:val="en-US"/>
        </w:rPr>
        <w:t>,</w:t>
      </w:r>
      <w:r w:rsidR="007969FE">
        <w:rPr>
          <w:lang w:val="en-US"/>
        </w:rPr>
        <w:t>”</w:t>
      </w:r>
      <w:r>
        <w:rPr>
          <w:lang w:val="en-US"/>
        </w:rPr>
        <w:t xml:space="preserve"> standing for </w:t>
      </w:r>
      <w:r w:rsidR="007969FE">
        <w:rPr>
          <w:lang w:val="en-US"/>
        </w:rPr>
        <w:t xml:space="preserve">docket #20, </w:t>
      </w:r>
      <w:r>
        <w:rPr>
          <w:lang w:val="en-US"/>
        </w:rPr>
        <w:t>landlord representative</w:t>
      </w:r>
      <w:r w:rsidR="00D90C57">
        <w:rPr>
          <w:lang w:val="en-US"/>
        </w:rPr>
        <w:t>. The Board employee then send</w:t>
      </w:r>
      <w:r w:rsidR="00317AB4">
        <w:rPr>
          <w:lang w:val="en-US"/>
        </w:rPr>
        <w:t>s</w:t>
      </w:r>
      <w:r w:rsidR="00D90C57">
        <w:rPr>
          <w:lang w:val="en-US"/>
        </w:rPr>
        <w:t xml:space="preserve"> people to break out rooms to speak to Duty Counsel</w:t>
      </w:r>
      <w:r w:rsidR="00317AB4">
        <w:rPr>
          <w:lang w:val="en-US"/>
        </w:rPr>
        <w:t>,</w:t>
      </w:r>
      <w:r w:rsidR="00D90C57">
        <w:rPr>
          <w:lang w:val="en-US"/>
        </w:rPr>
        <w:t xml:space="preserve"> or a mediator</w:t>
      </w:r>
      <w:r w:rsidR="00317AB4">
        <w:rPr>
          <w:lang w:val="en-US"/>
        </w:rPr>
        <w:t>,</w:t>
      </w:r>
      <w:r w:rsidR="00D90C57">
        <w:rPr>
          <w:lang w:val="en-US"/>
        </w:rPr>
        <w:t xml:space="preserve"> or to negotiate </w:t>
      </w:r>
      <w:r w:rsidR="00317AB4">
        <w:rPr>
          <w:lang w:val="en-US"/>
        </w:rPr>
        <w:t xml:space="preserve">by </w:t>
      </w:r>
      <w:r w:rsidR="00D90C57">
        <w:rPr>
          <w:lang w:val="en-US"/>
        </w:rPr>
        <w:t>themselves</w:t>
      </w:r>
      <w:r w:rsidR="00317AB4">
        <w:rPr>
          <w:lang w:val="en-US"/>
        </w:rPr>
        <w:t xml:space="preserve"> if they want to do that</w:t>
      </w:r>
      <w:r w:rsidR="00D90C57">
        <w:rPr>
          <w:lang w:val="en-US"/>
        </w:rPr>
        <w:t xml:space="preserve">. When people are ready, the Board employee sends people to one or other of two hearing rooms for an adjudicator to hear their case. </w:t>
      </w:r>
      <w:r w:rsidR="00317AB4">
        <w:rPr>
          <w:lang w:val="en-US"/>
        </w:rPr>
        <w:t xml:space="preserve">In one </w:t>
      </w:r>
      <w:r w:rsidR="00976C2D">
        <w:rPr>
          <w:lang w:val="en-US"/>
        </w:rPr>
        <w:t>three- or four-hour</w:t>
      </w:r>
      <w:r w:rsidR="00317AB4">
        <w:rPr>
          <w:lang w:val="en-US"/>
        </w:rPr>
        <w:t xml:space="preserve"> time block</w:t>
      </w:r>
      <w:r w:rsidR="00976C2D">
        <w:rPr>
          <w:lang w:val="en-US"/>
        </w:rPr>
        <w:t>,</w:t>
      </w:r>
      <w:r w:rsidR="00317AB4">
        <w:rPr>
          <w:lang w:val="en-US"/>
        </w:rPr>
        <w:t xml:space="preserve"> t</w:t>
      </w:r>
      <w:r w:rsidR="00D90C57">
        <w:rPr>
          <w:lang w:val="en-US"/>
        </w:rPr>
        <w:t>here can be as many as 40 cases, with 80 people waiting to be heard or helped by two adjudicators and one or two mediators.</w:t>
      </w:r>
      <w:r w:rsidR="00ED13CB">
        <w:rPr>
          <w:lang w:val="en-US"/>
        </w:rPr>
        <w:t xml:space="preserve"> Often</w:t>
      </w:r>
      <w:r w:rsidR="00976C2D">
        <w:rPr>
          <w:lang w:val="en-US"/>
        </w:rPr>
        <w:t>,</w:t>
      </w:r>
      <w:r w:rsidR="00ED13CB">
        <w:rPr>
          <w:lang w:val="en-US"/>
        </w:rPr>
        <w:t xml:space="preserve"> the Board gets through all the cases, but sometimes it does not. When cases are being scheduled for the second time, the Board usually schedules far fewer cases with one adjudicator and no mediator in the expectation of finishing all the cases.</w:t>
      </w:r>
    </w:p>
    <w:p w14:paraId="55B020DA" w14:textId="77777777" w:rsidR="00F35953" w:rsidRDefault="00F35953" w:rsidP="005E652F">
      <w:pPr>
        <w:spacing w:after="80"/>
        <w:rPr>
          <w:b/>
          <w:bCs/>
          <w:lang w:val="en-US"/>
        </w:rPr>
      </w:pPr>
    </w:p>
    <w:p w14:paraId="2DC49478" w14:textId="53EC9535" w:rsidR="005E652F" w:rsidRDefault="005E652F" w:rsidP="005E652F">
      <w:pPr>
        <w:spacing w:after="80"/>
        <w:rPr>
          <w:b/>
          <w:bCs/>
          <w:lang w:val="en-US"/>
        </w:rPr>
      </w:pPr>
      <w:r w:rsidRPr="00E76F42">
        <w:rPr>
          <w:b/>
          <w:bCs/>
          <w:lang w:val="en-US"/>
        </w:rPr>
        <w:lastRenderedPageBreak/>
        <w:t xml:space="preserve">Chapter </w:t>
      </w:r>
      <w:r>
        <w:rPr>
          <w:b/>
          <w:bCs/>
          <w:lang w:val="en-US"/>
        </w:rPr>
        <w:t xml:space="preserve">13 </w:t>
      </w:r>
      <w:r w:rsidR="00072AD4">
        <w:rPr>
          <w:b/>
          <w:bCs/>
          <w:lang w:val="en-US"/>
        </w:rPr>
        <w:t>—</w:t>
      </w:r>
      <w:r>
        <w:rPr>
          <w:b/>
          <w:bCs/>
          <w:lang w:val="en-US"/>
        </w:rPr>
        <w:t xml:space="preserve"> </w:t>
      </w:r>
      <w:r w:rsidR="00F35953">
        <w:rPr>
          <w:b/>
          <w:bCs/>
          <w:lang w:val="en-US"/>
        </w:rPr>
        <w:t>The Order and Beyond</w:t>
      </w:r>
    </w:p>
    <w:p w14:paraId="698084E6" w14:textId="77777777" w:rsidR="005E652F" w:rsidRDefault="005E652F" w:rsidP="00846E07">
      <w:pPr>
        <w:spacing w:after="120" w:line="252" w:lineRule="auto"/>
        <w:rPr>
          <w:lang w:val="en-US"/>
        </w:rPr>
      </w:pPr>
      <w:r w:rsidRPr="00B124D6">
        <w:rPr>
          <w:lang w:val="en-US"/>
        </w:rPr>
        <w:t>Since</w:t>
      </w:r>
      <w:r>
        <w:rPr>
          <w:lang w:val="en-US"/>
        </w:rPr>
        <w:t xml:space="preserve"> the </w:t>
      </w:r>
      <w:r w:rsidRPr="00B124D6">
        <w:rPr>
          <w:lang w:val="en-US"/>
        </w:rPr>
        <w:t>editing of the text closed in September 2021, there have been no significant changes affecting this chapter.</w:t>
      </w:r>
    </w:p>
    <w:p w14:paraId="1FBBF717" w14:textId="011E6E61" w:rsidR="000E2E45" w:rsidRDefault="000E2E45" w:rsidP="00846E07">
      <w:pPr>
        <w:spacing w:after="120" w:line="252" w:lineRule="auto"/>
        <w:rPr>
          <w:lang w:val="en-US"/>
        </w:rPr>
      </w:pPr>
      <w:r>
        <w:rPr>
          <w:lang w:val="en-US"/>
        </w:rPr>
        <w:t>However, to explain the law and practicalities better, in the section “Appeal of an Order</w:t>
      </w:r>
      <w:r w:rsidR="00976C2D">
        <w:rPr>
          <w:lang w:val="en-US"/>
        </w:rPr>
        <w:t>,</w:t>
      </w:r>
      <w:r>
        <w:rPr>
          <w:lang w:val="en-US"/>
        </w:rPr>
        <w:t xml:space="preserve">” </w:t>
      </w:r>
      <w:r w:rsidR="00B13D27">
        <w:rPr>
          <w:lang w:val="en-US"/>
        </w:rPr>
        <w:t xml:space="preserve">starting on p.190, </w:t>
      </w:r>
      <w:r>
        <w:rPr>
          <w:lang w:val="en-US"/>
        </w:rPr>
        <w:t>it would be advisable for user</w:t>
      </w:r>
      <w:r w:rsidR="003108F4">
        <w:rPr>
          <w:lang w:val="en-US"/>
        </w:rPr>
        <w:t>s</w:t>
      </w:r>
      <w:r>
        <w:rPr>
          <w:lang w:val="en-US"/>
        </w:rPr>
        <w:t xml:space="preserve"> of this text to insert the following after the first sentence of the section “Appeal of an Order”:</w:t>
      </w:r>
    </w:p>
    <w:p w14:paraId="7FA33B56" w14:textId="35A5E12A" w:rsidR="000E2E45" w:rsidRDefault="009A38C5" w:rsidP="00846E07">
      <w:pPr>
        <w:spacing w:after="120" w:line="252" w:lineRule="auto"/>
        <w:rPr>
          <w:lang w:val="en-US"/>
        </w:rPr>
      </w:pPr>
      <w:r>
        <w:rPr>
          <w:lang w:val="en-US"/>
        </w:rPr>
        <w:t>“</w:t>
      </w:r>
      <w:r w:rsidR="000E2E45">
        <w:rPr>
          <w:lang w:val="en-US"/>
        </w:rPr>
        <w:t>S. 210(1) contemplates a final order of the Board</w:t>
      </w:r>
      <w:r>
        <w:rPr>
          <w:lang w:val="en-US"/>
        </w:rPr>
        <w:t xml:space="preserve">, i.e., an order that determines the parties’ substantive rights, not an interim order that provides for what the parties need to do until the final order is made. In all </w:t>
      </w:r>
      <w:r w:rsidR="003108F4">
        <w:rPr>
          <w:lang w:val="en-US"/>
        </w:rPr>
        <w:t xml:space="preserve">legal </w:t>
      </w:r>
      <w:r>
        <w:rPr>
          <w:lang w:val="en-US"/>
        </w:rPr>
        <w:t xml:space="preserve">areas, the courts of Ontario are extremely reluctant to hear appeals of interim orders. </w:t>
      </w:r>
      <w:r w:rsidR="000C7F12">
        <w:rPr>
          <w:lang w:val="en-US"/>
        </w:rPr>
        <w:t>An example of an interim order would be an order that a tenant who owes $20,000 in rent pay $1,000 of it to the Board and pay the landlord the rent (of</w:t>
      </w:r>
      <w:r w:rsidR="00451927">
        <w:rPr>
          <w:lang w:val="en-US"/>
        </w:rPr>
        <w:t>,</w:t>
      </w:r>
      <w:r w:rsidR="000C7F12">
        <w:rPr>
          <w:lang w:val="en-US"/>
        </w:rPr>
        <w:t xml:space="preserve"> say</w:t>
      </w:r>
      <w:r w:rsidR="00451927">
        <w:rPr>
          <w:lang w:val="en-US"/>
        </w:rPr>
        <w:t>,</w:t>
      </w:r>
      <w:r w:rsidR="000C7F12">
        <w:rPr>
          <w:lang w:val="en-US"/>
        </w:rPr>
        <w:t xml:space="preserve"> $2,00 per month) until the hearing is held. The Divisional </w:t>
      </w:r>
      <w:r w:rsidR="001A27C8">
        <w:rPr>
          <w:lang w:val="en-US"/>
        </w:rPr>
        <w:t>C</w:t>
      </w:r>
      <w:r w:rsidR="000C7F12">
        <w:rPr>
          <w:lang w:val="en-US"/>
        </w:rPr>
        <w:t>ourt</w:t>
      </w:r>
      <w:r w:rsidR="00B13D27">
        <w:rPr>
          <w:lang w:val="en-US"/>
        </w:rPr>
        <w:t xml:space="preserve"> </w:t>
      </w:r>
      <w:r w:rsidR="000C7F12">
        <w:rPr>
          <w:lang w:val="en-US"/>
        </w:rPr>
        <w:t xml:space="preserve">would reject an appeal of such an interim order and probably order the party who made the appeal </w:t>
      </w:r>
      <w:r w:rsidR="00B13D27">
        <w:rPr>
          <w:lang w:val="en-US"/>
        </w:rPr>
        <w:t xml:space="preserve">to </w:t>
      </w:r>
      <w:r w:rsidR="000C7F12">
        <w:rPr>
          <w:lang w:val="en-US"/>
        </w:rPr>
        <w:t>pay the costs of the respondent</w:t>
      </w:r>
      <w:r w:rsidR="00B13D27">
        <w:rPr>
          <w:lang w:val="en-US"/>
        </w:rPr>
        <w:t xml:space="preserve"> in the appeal</w:t>
      </w:r>
      <w:r w:rsidR="000C7F12">
        <w:rPr>
          <w:lang w:val="en-US"/>
        </w:rPr>
        <w:t>.</w:t>
      </w:r>
      <w:r w:rsidR="001A27C8">
        <w:rPr>
          <w:lang w:val="en-US"/>
        </w:rPr>
        <w:t xml:space="preserve"> In addition, the Board would not delay its proceedings for an appeal of an interim order to be decided</w:t>
      </w:r>
      <w:r w:rsidR="001A27C8" w:rsidRPr="001A27C8">
        <w:rPr>
          <w:lang w:val="en-US"/>
        </w:rPr>
        <w:t xml:space="preserve"> </w:t>
      </w:r>
      <w:r w:rsidR="001A27C8">
        <w:rPr>
          <w:lang w:val="en-US"/>
        </w:rPr>
        <w:t xml:space="preserve">because to </w:t>
      </w:r>
      <w:r w:rsidR="00B13D27">
        <w:rPr>
          <w:lang w:val="en-US"/>
        </w:rPr>
        <w:t xml:space="preserve">do that </w:t>
      </w:r>
      <w:r w:rsidR="001A27C8">
        <w:rPr>
          <w:lang w:val="en-US"/>
        </w:rPr>
        <w:t>would allow parties to stall Board proceedings and interfere with the Board’s timely resolution of the parties’ rights.</w:t>
      </w:r>
      <w:r w:rsidR="000C7F12">
        <w:rPr>
          <w:lang w:val="en-US"/>
        </w:rPr>
        <w:t>”</w:t>
      </w:r>
    </w:p>
    <w:p w14:paraId="6760BC40" w14:textId="37BBEB9D" w:rsidR="000C7F12" w:rsidRDefault="00381558" w:rsidP="00846E07">
      <w:pPr>
        <w:spacing w:after="120" w:line="252" w:lineRule="auto"/>
        <w:rPr>
          <w:lang w:val="en-US"/>
        </w:rPr>
      </w:pPr>
      <w:r>
        <w:rPr>
          <w:lang w:val="en-US"/>
        </w:rPr>
        <w:t>Then</w:t>
      </w:r>
      <w:r w:rsidR="00451927">
        <w:rPr>
          <w:lang w:val="en-US"/>
        </w:rPr>
        <w:t>,</w:t>
      </w:r>
      <w:r>
        <w:rPr>
          <w:lang w:val="en-US"/>
        </w:rPr>
        <w:t xml:space="preserve"> start a new paragraph</w:t>
      </w:r>
      <w:r w:rsidR="0030773A">
        <w:rPr>
          <w:lang w:val="en-US"/>
        </w:rPr>
        <w:t>. For t</w:t>
      </w:r>
      <w:r w:rsidR="000C7F12">
        <w:rPr>
          <w:lang w:val="en-US"/>
        </w:rPr>
        <w:t xml:space="preserve">he </w:t>
      </w:r>
      <w:r w:rsidR="0030773A">
        <w:rPr>
          <w:lang w:val="en-US"/>
        </w:rPr>
        <w:t xml:space="preserve">first </w:t>
      </w:r>
      <w:r w:rsidR="000C7F12">
        <w:rPr>
          <w:lang w:val="en-US"/>
        </w:rPr>
        <w:t>sentence</w:t>
      </w:r>
      <w:r w:rsidR="0030773A">
        <w:rPr>
          <w:lang w:val="en-US"/>
        </w:rPr>
        <w:t xml:space="preserve"> in that new paragraph</w:t>
      </w:r>
      <w:r w:rsidR="000C7F12">
        <w:rPr>
          <w:lang w:val="en-US"/>
        </w:rPr>
        <w:t>,</w:t>
      </w:r>
      <w:r w:rsidR="0030773A">
        <w:rPr>
          <w:lang w:val="en-US"/>
        </w:rPr>
        <w:t xml:space="preserve"> replace </w:t>
      </w:r>
      <w:r w:rsidR="00E91219">
        <w:rPr>
          <w:lang w:val="en-US"/>
        </w:rPr>
        <w:t xml:space="preserve">“The appeal does not require …” </w:t>
      </w:r>
      <w:r w:rsidR="0030773A">
        <w:rPr>
          <w:lang w:val="en-US"/>
        </w:rPr>
        <w:t>with</w:t>
      </w:r>
      <w:r w:rsidR="00E91219">
        <w:rPr>
          <w:lang w:val="en-US"/>
        </w:rPr>
        <w:t xml:space="preserve"> “The appeal, which is presumed to be an appeal of a final order, does not require </w:t>
      </w:r>
      <w:proofErr w:type="gramStart"/>
      <w:r w:rsidR="00E91219">
        <w:rPr>
          <w:lang w:val="en-US"/>
        </w:rPr>
        <w:t>…</w:t>
      </w:r>
      <w:r w:rsidR="00976C2D">
        <w:rPr>
          <w:lang w:val="en-US"/>
        </w:rPr>
        <w:t xml:space="preserve"> .</w:t>
      </w:r>
      <w:proofErr w:type="gramEnd"/>
      <w:r w:rsidR="00E91219">
        <w:rPr>
          <w:lang w:val="en-US"/>
        </w:rPr>
        <w:t>”</w:t>
      </w:r>
    </w:p>
    <w:p w14:paraId="02776C6F" w14:textId="77777777" w:rsidR="005E652F" w:rsidRDefault="005E652F" w:rsidP="00846E07">
      <w:pPr>
        <w:rPr>
          <w:lang w:val="en-US"/>
        </w:rPr>
      </w:pPr>
    </w:p>
    <w:p w14:paraId="3A87A1FC" w14:textId="412A914D" w:rsidR="005E652F" w:rsidRDefault="005E652F" w:rsidP="00846E07">
      <w:pPr>
        <w:spacing w:after="80"/>
        <w:rPr>
          <w:b/>
          <w:bCs/>
          <w:lang w:val="en-US"/>
        </w:rPr>
      </w:pPr>
      <w:r w:rsidRPr="00E76F42">
        <w:rPr>
          <w:b/>
          <w:bCs/>
          <w:lang w:val="en-US"/>
        </w:rPr>
        <w:t xml:space="preserve">Chapter </w:t>
      </w:r>
      <w:r>
        <w:rPr>
          <w:b/>
          <w:bCs/>
          <w:lang w:val="en-US"/>
        </w:rPr>
        <w:t xml:space="preserve">14 </w:t>
      </w:r>
      <w:r w:rsidR="00072AD4">
        <w:rPr>
          <w:b/>
          <w:bCs/>
          <w:lang w:val="en-US"/>
        </w:rPr>
        <w:t>—</w:t>
      </w:r>
      <w:r>
        <w:rPr>
          <w:b/>
          <w:bCs/>
          <w:lang w:val="en-US"/>
        </w:rPr>
        <w:t xml:space="preserve"> </w:t>
      </w:r>
      <w:r w:rsidR="004E7D7F">
        <w:rPr>
          <w:b/>
          <w:bCs/>
          <w:lang w:val="en-US"/>
        </w:rPr>
        <w:t>Parting with Possession by the Tenant</w:t>
      </w:r>
    </w:p>
    <w:p w14:paraId="005E1B37" w14:textId="77777777" w:rsidR="005E652F" w:rsidRPr="00B124D6" w:rsidRDefault="005E652F" w:rsidP="00846E07">
      <w:pPr>
        <w:spacing w:after="120" w:line="252" w:lineRule="auto"/>
        <w:rPr>
          <w:lang w:val="en-US"/>
        </w:rPr>
      </w:pPr>
      <w:r w:rsidRPr="00B124D6">
        <w:rPr>
          <w:lang w:val="en-US"/>
        </w:rPr>
        <w:t>Since</w:t>
      </w:r>
      <w:r>
        <w:rPr>
          <w:lang w:val="en-US"/>
        </w:rPr>
        <w:t xml:space="preserve"> the </w:t>
      </w:r>
      <w:r w:rsidRPr="00B124D6">
        <w:rPr>
          <w:lang w:val="en-US"/>
        </w:rPr>
        <w:t>editing of the text closed in September 2021, there have been no significant changes affecting this chapter.</w:t>
      </w:r>
    </w:p>
    <w:p w14:paraId="3546CF38" w14:textId="77777777" w:rsidR="005E652F" w:rsidRDefault="005E652F" w:rsidP="00846E07">
      <w:pPr>
        <w:rPr>
          <w:lang w:val="en-US"/>
        </w:rPr>
      </w:pPr>
    </w:p>
    <w:p w14:paraId="788860B2" w14:textId="3ECCE8A3" w:rsidR="005E652F" w:rsidRDefault="005E652F" w:rsidP="00846E07">
      <w:pPr>
        <w:spacing w:after="80"/>
        <w:rPr>
          <w:b/>
          <w:bCs/>
          <w:lang w:val="en-US"/>
        </w:rPr>
      </w:pPr>
      <w:r w:rsidRPr="00E76F42">
        <w:rPr>
          <w:b/>
          <w:bCs/>
          <w:lang w:val="en-US"/>
        </w:rPr>
        <w:t xml:space="preserve">Chapter </w:t>
      </w:r>
      <w:r>
        <w:rPr>
          <w:b/>
          <w:bCs/>
          <w:lang w:val="en-US"/>
        </w:rPr>
        <w:t xml:space="preserve">15 </w:t>
      </w:r>
      <w:r w:rsidR="00072AD4">
        <w:rPr>
          <w:b/>
          <w:bCs/>
          <w:lang w:val="en-US"/>
        </w:rPr>
        <w:t>—</w:t>
      </w:r>
      <w:r>
        <w:rPr>
          <w:b/>
          <w:bCs/>
          <w:lang w:val="en-US"/>
        </w:rPr>
        <w:t xml:space="preserve"> </w:t>
      </w:r>
      <w:r w:rsidR="004E7D7F">
        <w:rPr>
          <w:b/>
          <w:bCs/>
          <w:lang w:val="en-US"/>
        </w:rPr>
        <w:t>Additional Grounds for Termination</w:t>
      </w:r>
    </w:p>
    <w:p w14:paraId="22F29496" w14:textId="77777777" w:rsidR="005E652F" w:rsidRPr="00B124D6" w:rsidRDefault="005E652F" w:rsidP="00846E07">
      <w:pPr>
        <w:spacing w:after="120" w:line="252" w:lineRule="auto"/>
        <w:rPr>
          <w:lang w:val="en-US"/>
        </w:rPr>
      </w:pPr>
      <w:r w:rsidRPr="00B124D6">
        <w:rPr>
          <w:lang w:val="en-US"/>
        </w:rPr>
        <w:t>Since</w:t>
      </w:r>
      <w:r>
        <w:rPr>
          <w:lang w:val="en-US"/>
        </w:rPr>
        <w:t xml:space="preserve"> the </w:t>
      </w:r>
      <w:r w:rsidRPr="00B124D6">
        <w:rPr>
          <w:lang w:val="en-US"/>
        </w:rPr>
        <w:t>editing of the text closed in September 2021, there have been no significant changes affecting this chapter.</w:t>
      </w:r>
    </w:p>
    <w:p w14:paraId="5FFA7963" w14:textId="77777777" w:rsidR="007428C4" w:rsidRDefault="007428C4" w:rsidP="00846E07">
      <w:pPr>
        <w:rPr>
          <w:lang w:val="en-US"/>
        </w:rPr>
      </w:pPr>
    </w:p>
    <w:p w14:paraId="18A4514B" w14:textId="2D2B8AD2" w:rsidR="00D97CEA" w:rsidRDefault="00D97CEA" w:rsidP="00846E07">
      <w:pPr>
        <w:spacing w:after="80"/>
        <w:rPr>
          <w:b/>
          <w:bCs/>
          <w:lang w:val="en-US"/>
        </w:rPr>
      </w:pPr>
      <w:r w:rsidRPr="00E76F42">
        <w:rPr>
          <w:b/>
          <w:bCs/>
          <w:lang w:val="en-US"/>
        </w:rPr>
        <w:t xml:space="preserve">Chapter </w:t>
      </w:r>
      <w:r>
        <w:rPr>
          <w:b/>
          <w:bCs/>
          <w:lang w:val="en-US"/>
        </w:rPr>
        <w:t xml:space="preserve">16 </w:t>
      </w:r>
      <w:r w:rsidR="00072AD4">
        <w:rPr>
          <w:b/>
          <w:bCs/>
          <w:lang w:val="en-US"/>
        </w:rPr>
        <w:t>—</w:t>
      </w:r>
      <w:r>
        <w:rPr>
          <w:b/>
          <w:bCs/>
          <w:lang w:val="en-US"/>
        </w:rPr>
        <w:t xml:space="preserve"> Increasing the Rent</w:t>
      </w:r>
    </w:p>
    <w:p w14:paraId="72CF613E" w14:textId="77777777" w:rsidR="00D97CEA" w:rsidRPr="00B124D6" w:rsidRDefault="00D97CEA" w:rsidP="00846E07">
      <w:pPr>
        <w:spacing w:after="120" w:line="252" w:lineRule="auto"/>
        <w:rPr>
          <w:lang w:val="en-US"/>
        </w:rPr>
      </w:pPr>
      <w:r w:rsidRPr="00B124D6">
        <w:rPr>
          <w:lang w:val="en-US"/>
        </w:rPr>
        <w:t>Since</w:t>
      </w:r>
      <w:r>
        <w:rPr>
          <w:lang w:val="en-US"/>
        </w:rPr>
        <w:t xml:space="preserve"> the </w:t>
      </w:r>
      <w:r w:rsidRPr="00B124D6">
        <w:rPr>
          <w:lang w:val="en-US"/>
        </w:rPr>
        <w:t>editing of the text closed in September 2021, there have been no significant changes affecting this chapter.</w:t>
      </w:r>
    </w:p>
    <w:p w14:paraId="26B569B0" w14:textId="77777777" w:rsidR="00D97CEA" w:rsidRDefault="00D97CEA" w:rsidP="00846E07">
      <w:pPr>
        <w:rPr>
          <w:lang w:val="en-US"/>
        </w:rPr>
      </w:pPr>
    </w:p>
    <w:p w14:paraId="1BF3319E" w14:textId="1F7A5266" w:rsidR="00D97CEA" w:rsidRDefault="00D97CEA" w:rsidP="00846E07">
      <w:pPr>
        <w:spacing w:after="80"/>
        <w:rPr>
          <w:b/>
          <w:bCs/>
          <w:lang w:val="en-US"/>
        </w:rPr>
      </w:pPr>
      <w:r w:rsidRPr="00E76F42">
        <w:rPr>
          <w:b/>
          <w:bCs/>
          <w:lang w:val="en-US"/>
        </w:rPr>
        <w:t xml:space="preserve">Chapter </w:t>
      </w:r>
      <w:r>
        <w:rPr>
          <w:b/>
          <w:bCs/>
          <w:lang w:val="en-US"/>
        </w:rPr>
        <w:t>1</w:t>
      </w:r>
      <w:r w:rsidR="009022FA">
        <w:rPr>
          <w:b/>
          <w:bCs/>
          <w:lang w:val="en-US"/>
        </w:rPr>
        <w:t>7</w:t>
      </w:r>
      <w:r>
        <w:rPr>
          <w:b/>
          <w:bCs/>
          <w:lang w:val="en-US"/>
        </w:rPr>
        <w:t xml:space="preserve"> </w:t>
      </w:r>
      <w:r w:rsidR="00072AD4">
        <w:rPr>
          <w:b/>
          <w:bCs/>
          <w:lang w:val="en-US"/>
        </w:rPr>
        <w:t>—</w:t>
      </w:r>
      <w:r>
        <w:rPr>
          <w:b/>
          <w:bCs/>
          <w:lang w:val="en-US"/>
        </w:rPr>
        <w:t xml:space="preserve"> </w:t>
      </w:r>
      <w:r w:rsidR="009022FA">
        <w:rPr>
          <w:b/>
          <w:bCs/>
          <w:lang w:val="en-US"/>
        </w:rPr>
        <w:t>Rent Reductions and Rebates</w:t>
      </w:r>
    </w:p>
    <w:p w14:paraId="5BC335F7" w14:textId="77777777" w:rsidR="00D97CEA" w:rsidRDefault="00D97CEA" w:rsidP="00846E07">
      <w:pPr>
        <w:spacing w:after="120" w:line="252" w:lineRule="auto"/>
        <w:rPr>
          <w:lang w:val="en-US"/>
        </w:rPr>
      </w:pPr>
      <w:r w:rsidRPr="00B124D6">
        <w:rPr>
          <w:lang w:val="en-US"/>
        </w:rPr>
        <w:t>Since</w:t>
      </w:r>
      <w:r>
        <w:rPr>
          <w:lang w:val="en-US"/>
        </w:rPr>
        <w:t xml:space="preserve"> the </w:t>
      </w:r>
      <w:r w:rsidRPr="00B124D6">
        <w:rPr>
          <w:lang w:val="en-US"/>
        </w:rPr>
        <w:t>editing of the text closed in September 2021, there have been no significant changes affecting this chapter.</w:t>
      </w:r>
    </w:p>
    <w:p w14:paraId="5917DF58" w14:textId="68F07A32" w:rsidR="009022FA" w:rsidRPr="00B124D6" w:rsidRDefault="009022FA" w:rsidP="00846E07">
      <w:pPr>
        <w:spacing w:after="120" w:line="252" w:lineRule="auto"/>
        <w:rPr>
          <w:lang w:val="en-US"/>
        </w:rPr>
      </w:pPr>
      <w:r>
        <w:rPr>
          <w:lang w:val="en-US"/>
        </w:rPr>
        <w:t xml:space="preserve">However, at the end of </w:t>
      </w:r>
      <w:r w:rsidR="003859EB">
        <w:rPr>
          <w:lang w:val="en-US"/>
        </w:rPr>
        <w:t xml:space="preserve">page </w:t>
      </w:r>
      <w:r>
        <w:rPr>
          <w:lang w:val="en-US"/>
        </w:rPr>
        <w:t>244, it would be well to note that applications to vary automatic rent reductions are usually processed as written hearings.</w:t>
      </w:r>
    </w:p>
    <w:p w14:paraId="5BCB2910" w14:textId="77777777" w:rsidR="00D97CEA" w:rsidRDefault="00D97CEA" w:rsidP="00237EB5">
      <w:pPr>
        <w:rPr>
          <w:lang w:val="en-US"/>
        </w:rPr>
      </w:pPr>
    </w:p>
    <w:p w14:paraId="50A5F6F3" w14:textId="4EBE2749" w:rsidR="00D97CEA" w:rsidRDefault="00D97CEA" w:rsidP="00AA40AE">
      <w:pPr>
        <w:keepNext/>
        <w:keepLines/>
        <w:spacing w:after="80"/>
        <w:rPr>
          <w:b/>
          <w:bCs/>
          <w:lang w:val="en-US"/>
        </w:rPr>
      </w:pPr>
      <w:r w:rsidRPr="00E76F42">
        <w:rPr>
          <w:b/>
          <w:bCs/>
          <w:lang w:val="en-US"/>
        </w:rPr>
        <w:lastRenderedPageBreak/>
        <w:t xml:space="preserve">Chapter </w:t>
      </w:r>
      <w:r>
        <w:rPr>
          <w:b/>
          <w:bCs/>
          <w:lang w:val="en-US"/>
        </w:rPr>
        <w:t>1</w:t>
      </w:r>
      <w:r w:rsidR="009022FA">
        <w:rPr>
          <w:b/>
          <w:bCs/>
          <w:lang w:val="en-US"/>
        </w:rPr>
        <w:t>8</w:t>
      </w:r>
      <w:r>
        <w:rPr>
          <w:b/>
          <w:bCs/>
          <w:lang w:val="en-US"/>
        </w:rPr>
        <w:t xml:space="preserve"> </w:t>
      </w:r>
      <w:r w:rsidR="00072AD4">
        <w:rPr>
          <w:b/>
          <w:bCs/>
          <w:lang w:val="en-US"/>
        </w:rPr>
        <w:t>—</w:t>
      </w:r>
      <w:r>
        <w:rPr>
          <w:b/>
          <w:bCs/>
          <w:lang w:val="en-US"/>
        </w:rPr>
        <w:t xml:space="preserve"> </w:t>
      </w:r>
      <w:r w:rsidR="009022FA">
        <w:rPr>
          <w:b/>
          <w:bCs/>
          <w:lang w:val="en-US"/>
        </w:rPr>
        <w:t>Offences under the RTA</w:t>
      </w:r>
    </w:p>
    <w:p w14:paraId="010180EA" w14:textId="5EF2F7D7" w:rsidR="00531D9B" w:rsidRDefault="00D97CEA" w:rsidP="00A01F6C">
      <w:pPr>
        <w:keepNext/>
        <w:keepLines/>
        <w:spacing w:after="120" w:line="252" w:lineRule="auto"/>
        <w:rPr>
          <w:lang w:val="en-US"/>
        </w:rPr>
      </w:pPr>
      <w:r w:rsidRPr="00B124D6">
        <w:rPr>
          <w:lang w:val="en-US"/>
        </w:rPr>
        <w:t>Since</w:t>
      </w:r>
      <w:r>
        <w:rPr>
          <w:lang w:val="en-US"/>
        </w:rPr>
        <w:t xml:space="preserve"> the </w:t>
      </w:r>
      <w:r w:rsidRPr="00B124D6">
        <w:rPr>
          <w:lang w:val="en-US"/>
        </w:rPr>
        <w:t>editing of the text closed in September 2021</w:t>
      </w:r>
      <w:r w:rsidR="00FD27C2">
        <w:rPr>
          <w:lang w:val="en-US"/>
        </w:rPr>
        <w:t xml:space="preserve">, </w:t>
      </w:r>
      <w:r w:rsidR="00AA40AE">
        <w:rPr>
          <w:lang w:val="en-US"/>
        </w:rPr>
        <w:t xml:space="preserve">no changes have been made to the </w:t>
      </w:r>
      <w:r w:rsidR="00FD27C2">
        <w:rPr>
          <w:lang w:val="en-US"/>
        </w:rPr>
        <w:t>offences</w:t>
      </w:r>
      <w:r w:rsidR="00394A06">
        <w:rPr>
          <w:lang w:val="en-US"/>
        </w:rPr>
        <w:t xml:space="preserve"> other than through the provisions not yet in force that deem certain acts or failures to act to constitute terminations in bad faith. </w:t>
      </w:r>
    </w:p>
    <w:p w14:paraId="672E75C2" w14:textId="316639B1" w:rsidR="00877F92" w:rsidRDefault="00531D9B" w:rsidP="00877F92">
      <w:pPr>
        <w:rPr>
          <w:lang w:val="en-US"/>
        </w:rPr>
      </w:pPr>
      <w:r>
        <w:rPr>
          <w:lang w:val="en-US"/>
        </w:rPr>
        <w:t>I</w:t>
      </w:r>
      <w:r w:rsidR="00877F92">
        <w:rPr>
          <w:lang w:val="en-US"/>
        </w:rPr>
        <w:t>n</w:t>
      </w:r>
      <w:r>
        <w:rPr>
          <w:lang w:val="en-US"/>
        </w:rPr>
        <w:t xml:space="preserve"> the first sentence under </w:t>
      </w:r>
      <w:r w:rsidR="00877F92">
        <w:rPr>
          <w:lang w:val="en-US"/>
        </w:rPr>
        <w:t>the title “Fines for the Offences”</w:t>
      </w:r>
      <w:r>
        <w:rPr>
          <w:lang w:val="en-US"/>
        </w:rPr>
        <w:t xml:space="preserve"> on page 252, there is </w:t>
      </w:r>
      <w:r w:rsidR="00451927">
        <w:rPr>
          <w:lang w:val="en-US"/>
        </w:rPr>
        <w:t xml:space="preserve">a </w:t>
      </w:r>
      <w:r>
        <w:rPr>
          <w:lang w:val="en-US"/>
        </w:rPr>
        <w:t>reference to maximum fines for violations of the RTA of $50,000 for an individual and $250,000 for a corporation. Although increases in the maximum fines to $100,000 and $500,000</w:t>
      </w:r>
      <w:r w:rsidR="00451927">
        <w:rPr>
          <w:lang w:val="en-US"/>
        </w:rPr>
        <w:t>,</w:t>
      </w:r>
      <w:r>
        <w:rPr>
          <w:lang w:val="en-US"/>
        </w:rPr>
        <w:t xml:space="preserve"> respectively</w:t>
      </w:r>
      <w:r w:rsidR="00451927">
        <w:rPr>
          <w:lang w:val="en-US"/>
        </w:rPr>
        <w:t>,</w:t>
      </w:r>
      <w:r>
        <w:rPr>
          <w:lang w:val="en-US"/>
        </w:rPr>
        <w:t xml:space="preserve"> have been enacted by Bill 97, those changes have not been proclaimed.</w:t>
      </w:r>
      <w:r w:rsidR="00877F92" w:rsidRPr="00877F92">
        <w:rPr>
          <w:lang w:val="en-US"/>
        </w:rPr>
        <w:t xml:space="preserve"> </w:t>
      </w:r>
      <w:r w:rsidR="00877F92">
        <w:rPr>
          <w:lang w:val="en-US"/>
        </w:rPr>
        <w:t>You can check whether they have been brought into force at Ontario e-laws.</w:t>
      </w:r>
    </w:p>
    <w:p w14:paraId="0F412320" w14:textId="7C688EBB" w:rsidR="00531D9B" w:rsidRDefault="00531D9B" w:rsidP="00531D9B">
      <w:pPr>
        <w:rPr>
          <w:lang w:val="en-US"/>
        </w:rPr>
      </w:pPr>
    </w:p>
    <w:p w14:paraId="2C685B66" w14:textId="4AA75286" w:rsidR="00877F92" w:rsidRDefault="00877F92" w:rsidP="00877F92">
      <w:pPr>
        <w:spacing w:after="80"/>
        <w:rPr>
          <w:b/>
          <w:bCs/>
          <w:lang w:val="en-US"/>
        </w:rPr>
      </w:pPr>
      <w:r w:rsidRPr="00E76F42">
        <w:rPr>
          <w:b/>
          <w:bCs/>
          <w:lang w:val="en-US"/>
        </w:rPr>
        <w:t xml:space="preserve">Chapter </w:t>
      </w:r>
      <w:r>
        <w:rPr>
          <w:b/>
          <w:bCs/>
          <w:lang w:val="en-US"/>
        </w:rPr>
        <w:t xml:space="preserve">19 </w:t>
      </w:r>
      <w:r w:rsidR="00072AD4">
        <w:rPr>
          <w:b/>
          <w:bCs/>
          <w:lang w:val="en-US"/>
        </w:rPr>
        <w:t>—</w:t>
      </w:r>
      <w:r>
        <w:rPr>
          <w:b/>
          <w:bCs/>
          <w:lang w:val="en-US"/>
        </w:rPr>
        <w:t xml:space="preserve"> </w:t>
      </w:r>
      <w:r w:rsidR="00754490">
        <w:rPr>
          <w:b/>
          <w:bCs/>
          <w:lang w:val="en-US"/>
        </w:rPr>
        <w:t>Housing Co-operatives</w:t>
      </w:r>
    </w:p>
    <w:p w14:paraId="3A873557" w14:textId="77777777" w:rsidR="00877F92" w:rsidRDefault="00877F92" w:rsidP="00877F92">
      <w:pPr>
        <w:rPr>
          <w:lang w:val="en-US"/>
        </w:rPr>
      </w:pPr>
      <w:r w:rsidRPr="00B124D6">
        <w:rPr>
          <w:lang w:val="en-US"/>
        </w:rPr>
        <w:t>Since</w:t>
      </w:r>
      <w:r>
        <w:rPr>
          <w:lang w:val="en-US"/>
        </w:rPr>
        <w:t xml:space="preserve"> the </w:t>
      </w:r>
      <w:r w:rsidRPr="00B124D6">
        <w:rPr>
          <w:lang w:val="en-US"/>
        </w:rPr>
        <w:t>editing of the text closed in September 2021, there have been no significant changes affecting this chapter.</w:t>
      </w:r>
    </w:p>
    <w:p w14:paraId="1E8F27BD" w14:textId="77777777" w:rsidR="00FD27C2" w:rsidRPr="00B124D6" w:rsidRDefault="00FD27C2" w:rsidP="00D97CEA">
      <w:pPr>
        <w:rPr>
          <w:lang w:val="en-US"/>
        </w:rPr>
      </w:pPr>
    </w:p>
    <w:p w14:paraId="1AC69DF1" w14:textId="7170B5F5" w:rsidR="00D97CEA" w:rsidRPr="00AA7D4F" w:rsidRDefault="00AA7D4F" w:rsidP="00237EB5">
      <w:pPr>
        <w:rPr>
          <w:b/>
          <w:bCs/>
          <w:lang w:val="en-US"/>
        </w:rPr>
      </w:pPr>
      <w:r w:rsidRPr="00AA7D4F">
        <w:rPr>
          <w:b/>
          <w:bCs/>
          <w:lang w:val="en-US"/>
        </w:rPr>
        <w:t>Appendix D</w:t>
      </w:r>
    </w:p>
    <w:p w14:paraId="2C7F1CD5" w14:textId="6F08D706" w:rsidR="00AA7D4F" w:rsidRDefault="00451927" w:rsidP="00237EB5">
      <w:pPr>
        <w:rPr>
          <w:lang w:val="en-US"/>
        </w:rPr>
      </w:pPr>
      <w:r>
        <w:rPr>
          <w:lang w:val="en-US"/>
        </w:rPr>
        <w:t>On</w:t>
      </w:r>
      <w:r w:rsidR="002652CF">
        <w:rPr>
          <w:lang w:val="en-US"/>
        </w:rPr>
        <w:t xml:space="preserve"> </w:t>
      </w:r>
      <w:r w:rsidR="003859EB">
        <w:rPr>
          <w:lang w:val="en-US"/>
        </w:rPr>
        <w:t xml:space="preserve">page </w:t>
      </w:r>
      <w:r w:rsidR="002652CF">
        <w:rPr>
          <w:lang w:val="en-US"/>
        </w:rPr>
        <w:t>404</w:t>
      </w:r>
      <w:r>
        <w:rPr>
          <w:lang w:val="en-US"/>
        </w:rPr>
        <w:t>,</w:t>
      </w:r>
      <w:r w:rsidR="002652CF">
        <w:rPr>
          <w:lang w:val="en-US"/>
        </w:rPr>
        <w:t xml:space="preserve"> a</w:t>
      </w:r>
      <w:r w:rsidR="00AA7D4F">
        <w:rPr>
          <w:lang w:val="en-US"/>
        </w:rPr>
        <w:t>dd to the table two more rows:</w:t>
      </w:r>
    </w:p>
    <w:tbl>
      <w:tblPr>
        <w:tblStyle w:val="TableGrid"/>
        <w:tblW w:w="0" w:type="auto"/>
        <w:tblLook w:val="04A0" w:firstRow="1" w:lastRow="0" w:firstColumn="1" w:lastColumn="0" w:noHBand="0" w:noVBand="1"/>
      </w:tblPr>
      <w:tblGrid>
        <w:gridCol w:w="1555"/>
        <w:gridCol w:w="4110"/>
        <w:gridCol w:w="1276"/>
      </w:tblGrid>
      <w:tr w:rsidR="00AA7D4F" w14:paraId="4823D587" w14:textId="77777777" w:rsidTr="002652CF">
        <w:tc>
          <w:tcPr>
            <w:tcW w:w="1555" w:type="dxa"/>
          </w:tcPr>
          <w:p w14:paraId="622857D0" w14:textId="7D193648" w:rsidR="00AA7D4F" w:rsidRPr="002652CF" w:rsidRDefault="00AA7D4F" w:rsidP="00AA7D4F">
            <w:pPr>
              <w:spacing w:before="60" w:after="60"/>
              <w:rPr>
                <w:b/>
                <w:bCs/>
                <w:lang w:val="en-US"/>
              </w:rPr>
            </w:pPr>
            <w:r w:rsidRPr="002652CF">
              <w:rPr>
                <w:b/>
                <w:bCs/>
                <w:lang w:val="en-US"/>
              </w:rPr>
              <w:t>Guideline percentage</w:t>
            </w:r>
          </w:p>
        </w:tc>
        <w:tc>
          <w:tcPr>
            <w:tcW w:w="4110" w:type="dxa"/>
          </w:tcPr>
          <w:p w14:paraId="40BDA559" w14:textId="0C174426" w:rsidR="00AA7D4F" w:rsidRPr="002652CF" w:rsidRDefault="00473EEE" w:rsidP="00AA7D4F">
            <w:pPr>
              <w:spacing w:before="60" w:after="60"/>
              <w:rPr>
                <w:b/>
                <w:bCs/>
                <w:lang w:val="en-US"/>
              </w:rPr>
            </w:pPr>
            <w:r w:rsidRPr="002652CF">
              <w:rPr>
                <w:b/>
                <w:bCs/>
                <w:lang w:val="en-US"/>
              </w:rPr>
              <w:t>Time period</w:t>
            </w:r>
          </w:p>
        </w:tc>
        <w:tc>
          <w:tcPr>
            <w:tcW w:w="1276" w:type="dxa"/>
          </w:tcPr>
          <w:p w14:paraId="467D188E" w14:textId="2DC95137" w:rsidR="00AA7D4F" w:rsidRPr="002652CF" w:rsidRDefault="00473EEE" w:rsidP="00AA7D4F">
            <w:pPr>
              <w:spacing w:before="60" w:after="60"/>
              <w:rPr>
                <w:b/>
                <w:bCs/>
                <w:lang w:val="en-US"/>
              </w:rPr>
            </w:pPr>
            <w:r w:rsidRPr="002652CF">
              <w:rPr>
                <w:b/>
                <w:bCs/>
                <w:lang w:val="en-US"/>
              </w:rPr>
              <w:t>Statute</w:t>
            </w:r>
          </w:p>
        </w:tc>
      </w:tr>
      <w:tr w:rsidR="00AA7D4F" w14:paraId="325EF4DB" w14:textId="77777777" w:rsidTr="002652CF">
        <w:tc>
          <w:tcPr>
            <w:tcW w:w="1555" w:type="dxa"/>
          </w:tcPr>
          <w:p w14:paraId="7D489920" w14:textId="56968398" w:rsidR="00AA7D4F" w:rsidRDefault="002652CF" w:rsidP="00AA7D4F">
            <w:pPr>
              <w:spacing w:before="60" w:after="60"/>
              <w:rPr>
                <w:lang w:val="en-US"/>
              </w:rPr>
            </w:pPr>
            <w:r>
              <w:rPr>
                <w:lang w:val="en-US"/>
              </w:rPr>
              <w:t>2.5</w:t>
            </w:r>
          </w:p>
        </w:tc>
        <w:tc>
          <w:tcPr>
            <w:tcW w:w="4110" w:type="dxa"/>
          </w:tcPr>
          <w:p w14:paraId="6527652C" w14:textId="2C8E1567" w:rsidR="00AA7D4F" w:rsidRDefault="002652CF" w:rsidP="00AA7D4F">
            <w:pPr>
              <w:spacing w:before="60" w:after="60"/>
              <w:rPr>
                <w:lang w:val="en-US"/>
              </w:rPr>
            </w:pPr>
            <w:r>
              <w:rPr>
                <w:lang w:val="en-US"/>
              </w:rPr>
              <w:t>January 1, 2023 – December 31, 2023</w:t>
            </w:r>
          </w:p>
        </w:tc>
        <w:tc>
          <w:tcPr>
            <w:tcW w:w="1276" w:type="dxa"/>
          </w:tcPr>
          <w:p w14:paraId="33612F43" w14:textId="124B9D1B" w:rsidR="00AA7D4F" w:rsidRDefault="002652CF" w:rsidP="00AA7D4F">
            <w:pPr>
              <w:spacing w:before="60" w:after="60"/>
              <w:rPr>
                <w:lang w:val="en-US"/>
              </w:rPr>
            </w:pPr>
            <w:r>
              <w:rPr>
                <w:lang w:val="en-US"/>
              </w:rPr>
              <w:t>RTA</w:t>
            </w:r>
          </w:p>
        </w:tc>
      </w:tr>
      <w:tr w:rsidR="00AA7D4F" w14:paraId="749B48A1" w14:textId="77777777" w:rsidTr="002652CF">
        <w:tc>
          <w:tcPr>
            <w:tcW w:w="1555" w:type="dxa"/>
          </w:tcPr>
          <w:p w14:paraId="7FE45563" w14:textId="596F80BE" w:rsidR="00AA7D4F" w:rsidRDefault="002652CF" w:rsidP="00AA7D4F">
            <w:pPr>
              <w:spacing w:before="60" w:after="60"/>
              <w:rPr>
                <w:lang w:val="en-US"/>
              </w:rPr>
            </w:pPr>
            <w:r>
              <w:rPr>
                <w:lang w:val="en-US"/>
              </w:rPr>
              <w:t>2.5</w:t>
            </w:r>
          </w:p>
        </w:tc>
        <w:tc>
          <w:tcPr>
            <w:tcW w:w="4110" w:type="dxa"/>
          </w:tcPr>
          <w:p w14:paraId="75ACC361" w14:textId="0E7DFBD2" w:rsidR="00AA7D4F" w:rsidRDefault="002652CF" w:rsidP="00AA7D4F">
            <w:pPr>
              <w:spacing w:before="60" w:after="60"/>
              <w:rPr>
                <w:lang w:val="en-US"/>
              </w:rPr>
            </w:pPr>
            <w:r>
              <w:rPr>
                <w:lang w:val="en-US"/>
              </w:rPr>
              <w:t>January 1, 2024 – December 31, 2024</w:t>
            </w:r>
          </w:p>
        </w:tc>
        <w:tc>
          <w:tcPr>
            <w:tcW w:w="1276" w:type="dxa"/>
          </w:tcPr>
          <w:p w14:paraId="7FD0495C" w14:textId="03DD9E2D" w:rsidR="00AA7D4F" w:rsidRDefault="002652CF" w:rsidP="00AA7D4F">
            <w:pPr>
              <w:spacing w:before="60" w:after="60"/>
              <w:rPr>
                <w:lang w:val="en-US"/>
              </w:rPr>
            </w:pPr>
            <w:r>
              <w:rPr>
                <w:lang w:val="en-US"/>
              </w:rPr>
              <w:t>RTA</w:t>
            </w:r>
          </w:p>
        </w:tc>
      </w:tr>
    </w:tbl>
    <w:p w14:paraId="5EC8A5FE" w14:textId="77777777" w:rsidR="00AA7D4F" w:rsidRDefault="00AA7D4F" w:rsidP="00A01F6C">
      <w:pPr>
        <w:rPr>
          <w:lang w:val="en-US"/>
        </w:rPr>
      </w:pPr>
    </w:p>
    <w:p w14:paraId="1A09B93A" w14:textId="7B4907EC" w:rsidR="00BC7B1B" w:rsidRDefault="00BC7B1B" w:rsidP="00BC7B1B">
      <w:pPr>
        <w:spacing w:after="80"/>
        <w:rPr>
          <w:lang w:val="en-US"/>
        </w:rPr>
      </w:pPr>
      <w:r>
        <w:rPr>
          <w:lang w:val="en-US"/>
        </w:rPr>
        <w:t>John Dickie &amp;</w:t>
      </w:r>
    </w:p>
    <w:p w14:paraId="185FD8F5" w14:textId="6C9344D6" w:rsidR="00BC7B1B" w:rsidRDefault="00BC7B1B" w:rsidP="00A01F6C">
      <w:pPr>
        <w:rPr>
          <w:lang w:val="en-US"/>
        </w:rPr>
      </w:pPr>
      <w:r>
        <w:rPr>
          <w:lang w:val="en-US"/>
        </w:rPr>
        <w:t>David Lyman</w:t>
      </w:r>
    </w:p>
    <w:p w14:paraId="5BD455BC" w14:textId="4C866DD0" w:rsidR="00BC7B1B" w:rsidRPr="00B124D6" w:rsidRDefault="00BC7B1B" w:rsidP="00A01F6C">
      <w:pPr>
        <w:rPr>
          <w:lang w:val="en-US"/>
        </w:rPr>
      </w:pPr>
      <w:r>
        <w:rPr>
          <w:lang w:val="en-US"/>
        </w:rPr>
        <w:t>August 14, 2023</w:t>
      </w:r>
    </w:p>
    <w:sectPr w:rsidR="00BC7B1B" w:rsidRPr="00B124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398DC" w14:textId="77777777" w:rsidR="004977FB" w:rsidRDefault="004977FB" w:rsidP="00A37758">
      <w:pPr>
        <w:spacing w:after="0" w:line="240" w:lineRule="auto"/>
      </w:pPr>
      <w:r>
        <w:separator/>
      </w:r>
    </w:p>
  </w:endnote>
  <w:endnote w:type="continuationSeparator" w:id="0">
    <w:p w14:paraId="2FF7B936" w14:textId="77777777" w:rsidR="004977FB" w:rsidRDefault="004977FB" w:rsidP="00A37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5318169"/>
      <w:docPartObj>
        <w:docPartGallery w:val="Page Numbers (Bottom of Page)"/>
        <w:docPartUnique/>
      </w:docPartObj>
    </w:sdtPr>
    <w:sdtEndPr>
      <w:rPr>
        <w:noProof/>
      </w:rPr>
    </w:sdtEndPr>
    <w:sdtContent>
      <w:p w14:paraId="508269D0" w14:textId="19069BD6" w:rsidR="00A37758" w:rsidRDefault="00A377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1195CD" w14:textId="77777777" w:rsidR="00A37758" w:rsidRDefault="00A37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8C069" w14:textId="77777777" w:rsidR="004977FB" w:rsidRDefault="004977FB" w:rsidP="00A37758">
      <w:pPr>
        <w:spacing w:after="0" w:line="240" w:lineRule="auto"/>
      </w:pPr>
      <w:r>
        <w:separator/>
      </w:r>
    </w:p>
  </w:footnote>
  <w:footnote w:type="continuationSeparator" w:id="0">
    <w:p w14:paraId="7AC33E1F" w14:textId="77777777" w:rsidR="004977FB" w:rsidRDefault="004977FB" w:rsidP="00A37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B11411"/>
    <w:multiLevelType w:val="hybridMultilevel"/>
    <w:tmpl w:val="FB7AFCB0"/>
    <w:lvl w:ilvl="0" w:tplc="65140778">
      <w:start w:val="1"/>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7060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1A"/>
    <w:rsid w:val="00000F4A"/>
    <w:rsid w:val="00017B60"/>
    <w:rsid w:val="00035B66"/>
    <w:rsid w:val="00044647"/>
    <w:rsid w:val="00067A4F"/>
    <w:rsid w:val="00072AD4"/>
    <w:rsid w:val="00074530"/>
    <w:rsid w:val="00092E01"/>
    <w:rsid w:val="000A05A1"/>
    <w:rsid w:val="000C7F12"/>
    <w:rsid w:val="000E2E45"/>
    <w:rsid w:val="001458F3"/>
    <w:rsid w:val="00156E4F"/>
    <w:rsid w:val="00181533"/>
    <w:rsid w:val="00182A76"/>
    <w:rsid w:val="001954FA"/>
    <w:rsid w:val="001A27C8"/>
    <w:rsid w:val="001C7A0C"/>
    <w:rsid w:val="001D1DC7"/>
    <w:rsid w:val="001F7E3C"/>
    <w:rsid w:val="00237EB5"/>
    <w:rsid w:val="002458B7"/>
    <w:rsid w:val="00262BEB"/>
    <w:rsid w:val="002652CF"/>
    <w:rsid w:val="0030773A"/>
    <w:rsid w:val="003108F4"/>
    <w:rsid w:val="00312F38"/>
    <w:rsid w:val="00315F20"/>
    <w:rsid w:val="00317AB4"/>
    <w:rsid w:val="00355C40"/>
    <w:rsid w:val="00367C14"/>
    <w:rsid w:val="00381558"/>
    <w:rsid w:val="003844C8"/>
    <w:rsid w:val="003859EB"/>
    <w:rsid w:val="00394A06"/>
    <w:rsid w:val="003A459D"/>
    <w:rsid w:val="00451927"/>
    <w:rsid w:val="004653E5"/>
    <w:rsid w:val="00473EEE"/>
    <w:rsid w:val="00476EC5"/>
    <w:rsid w:val="004977FB"/>
    <w:rsid w:val="004D6104"/>
    <w:rsid w:val="004E7D7F"/>
    <w:rsid w:val="004F1179"/>
    <w:rsid w:val="004F18A4"/>
    <w:rsid w:val="004F6F14"/>
    <w:rsid w:val="00531D9B"/>
    <w:rsid w:val="00532FEA"/>
    <w:rsid w:val="00570A4F"/>
    <w:rsid w:val="005972DC"/>
    <w:rsid w:val="005A521A"/>
    <w:rsid w:val="005E3AC9"/>
    <w:rsid w:val="005E652F"/>
    <w:rsid w:val="00627A96"/>
    <w:rsid w:val="00633746"/>
    <w:rsid w:val="00633B6A"/>
    <w:rsid w:val="0063515B"/>
    <w:rsid w:val="00666C54"/>
    <w:rsid w:val="00667374"/>
    <w:rsid w:val="00687E3C"/>
    <w:rsid w:val="006A4A3D"/>
    <w:rsid w:val="006F6C36"/>
    <w:rsid w:val="0070059F"/>
    <w:rsid w:val="007428C4"/>
    <w:rsid w:val="0074501C"/>
    <w:rsid w:val="00754490"/>
    <w:rsid w:val="00776426"/>
    <w:rsid w:val="0078127E"/>
    <w:rsid w:val="007969FE"/>
    <w:rsid w:val="007B46E0"/>
    <w:rsid w:val="007F59CB"/>
    <w:rsid w:val="0080496C"/>
    <w:rsid w:val="00811FD5"/>
    <w:rsid w:val="008273D1"/>
    <w:rsid w:val="00846015"/>
    <w:rsid w:val="00846E07"/>
    <w:rsid w:val="00877F92"/>
    <w:rsid w:val="008B1DB8"/>
    <w:rsid w:val="008B3782"/>
    <w:rsid w:val="008D4FB1"/>
    <w:rsid w:val="008F4174"/>
    <w:rsid w:val="009022FA"/>
    <w:rsid w:val="009057E9"/>
    <w:rsid w:val="00956381"/>
    <w:rsid w:val="00965BDE"/>
    <w:rsid w:val="00976C2D"/>
    <w:rsid w:val="0099762D"/>
    <w:rsid w:val="009A38C5"/>
    <w:rsid w:val="009A7F47"/>
    <w:rsid w:val="00A01F6C"/>
    <w:rsid w:val="00A060B0"/>
    <w:rsid w:val="00A37758"/>
    <w:rsid w:val="00A43132"/>
    <w:rsid w:val="00A757B4"/>
    <w:rsid w:val="00A75F24"/>
    <w:rsid w:val="00A8591E"/>
    <w:rsid w:val="00A915E2"/>
    <w:rsid w:val="00AA40AE"/>
    <w:rsid w:val="00AA7D4F"/>
    <w:rsid w:val="00AB7C19"/>
    <w:rsid w:val="00AC5C55"/>
    <w:rsid w:val="00AE14F9"/>
    <w:rsid w:val="00B0598C"/>
    <w:rsid w:val="00B124D6"/>
    <w:rsid w:val="00B13D27"/>
    <w:rsid w:val="00B223C1"/>
    <w:rsid w:val="00B845FA"/>
    <w:rsid w:val="00BC7B1B"/>
    <w:rsid w:val="00C00119"/>
    <w:rsid w:val="00C452B6"/>
    <w:rsid w:val="00C6264E"/>
    <w:rsid w:val="00C647AF"/>
    <w:rsid w:val="00C862B0"/>
    <w:rsid w:val="00CA739D"/>
    <w:rsid w:val="00CD7FFB"/>
    <w:rsid w:val="00CF7078"/>
    <w:rsid w:val="00D73168"/>
    <w:rsid w:val="00D90C57"/>
    <w:rsid w:val="00D97CEA"/>
    <w:rsid w:val="00DA6E3C"/>
    <w:rsid w:val="00DB5A58"/>
    <w:rsid w:val="00DD4014"/>
    <w:rsid w:val="00DF4FD2"/>
    <w:rsid w:val="00E052FD"/>
    <w:rsid w:val="00E74360"/>
    <w:rsid w:val="00E76F42"/>
    <w:rsid w:val="00E91219"/>
    <w:rsid w:val="00EB3EA3"/>
    <w:rsid w:val="00ED13CB"/>
    <w:rsid w:val="00EE3385"/>
    <w:rsid w:val="00F1661E"/>
    <w:rsid w:val="00F26982"/>
    <w:rsid w:val="00F35953"/>
    <w:rsid w:val="00F37726"/>
    <w:rsid w:val="00F64188"/>
    <w:rsid w:val="00F80522"/>
    <w:rsid w:val="00F90200"/>
    <w:rsid w:val="00FB11A7"/>
    <w:rsid w:val="00FB5DE3"/>
    <w:rsid w:val="00FD27C2"/>
    <w:rsid w:val="00FD37A5"/>
    <w:rsid w:val="00FE76CE"/>
    <w:rsid w:val="00FF585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94ACE"/>
  <w15:chartTrackingRefBased/>
  <w15:docId w15:val="{85D2CEE7-A8FE-48B5-95E2-87F6B82A9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5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7EB5"/>
    <w:pPr>
      <w:ind w:left="720"/>
      <w:contextualSpacing/>
    </w:pPr>
  </w:style>
  <w:style w:type="paragraph" w:styleId="Header">
    <w:name w:val="header"/>
    <w:basedOn w:val="Normal"/>
    <w:link w:val="HeaderChar"/>
    <w:uiPriority w:val="99"/>
    <w:unhideWhenUsed/>
    <w:rsid w:val="00A37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758"/>
  </w:style>
  <w:style w:type="paragraph" w:styleId="Footer">
    <w:name w:val="footer"/>
    <w:basedOn w:val="Normal"/>
    <w:link w:val="FooterChar"/>
    <w:uiPriority w:val="99"/>
    <w:unhideWhenUsed/>
    <w:rsid w:val="00A37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758"/>
  </w:style>
  <w:style w:type="character" w:styleId="Strong">
    <w:name w:val="Strong"/>
    <w:basedOn w:val="DefaultParagraphFont"/>
    <w:uiPriority w:val="22"/>
    <w:qFormat/>
    <w:rsid w:val="00E052FD"/>
    <w:rPr>
      <w:b/>
      <w:bCs/>
    </w:rPr>
  </w:style>
  <w:style w:type="paragraph" w:customStyle="1" w:styleId="Body">
    <w:name w:val="Body"/>
    <w:rsid w:val="00CA739D"/>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6</Pages>
  <Words>2166</Words>
  <Characters>12351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Dickie</dc:creator>
  <cp:keywords/>
  <dc:description/>
  <cp:lastModifiedBy>Melissa Barrientos</cp:lastModifiedBy>
  <cp:revision>13</cp:revision>
  <dcterms:created xsi:type="dcterms:W3CDTF">2023-08-14T18:02:00Z</dcterms:created>
  <dcterms:modified xsi:type="dcterms:W3CDTF">2023-08-23T20:00:00Z</dcterms:modified>
</cp:coreProperties>
</file>